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7040"/>
        <w:spacing w:after="0"/>
        <w:rPr>
          <w:sz w:val="20"/>
          <w:szCs w:val="20"/>
          <w:color w:val="auto"/>
        </w:rPr>
      </w:pPr>
      <w:r>
        <w:rPr>
          <w:rFonts w:ascii="Times New Roman" w:cs="Times New Roman" w:eastAsia="Times New Roman" w:hAnsi="Times New Roman"/>
          <w:sz w:val="17"/>
          <w:szCs w:val="17"/>
          <w:b w:val="1"/>
          <w:bCs w:val="1"/>
          <w:color w:val="auto"/>
        </w:rPr>
        <w:t> Filed Pursuant to Rule 424(b)(3)</w:t>
      </w:r>
    </w:p>
    <w:p>
      <w:pPr>
        <w:spacing w:after="0" w:line="43" w:lineRule="exact"/>
        <w:rPr>
          <w:sz w:val="24"/>
          <w:szCs w:val="24"/>
          <w:color w:val="auto"/>
        </w:rPr>
      </w:pPr>
    </w:p>
    <w:p>
      <w:pPr>
        <w:ind w:left="7380"/>
        <w:spacing w:after="0"/>
        <w:rPr>
          <w:sz w:val="20"/>
          <w:szCs w:val="20"/>
          <w:color w:val="auto"/>
        </w:rPr>
      </w:pPr>
      <w:r>
        <w:rPr>
          <w:rFonts w:ascii="Times New Roman" w:cs="Times New Roman" w:eastAsia="Times New Roman" w:hAnsi="Times New Roman"/>
          <w:sz w:val="17"/>
          <w:szCs w:val="17"/>
          <w:b w:val="1"/>
          <w:bCs w:val="1"/>
          <w:color w:val="auto"/>
        </w:rPr>
        <w:t> Registration No. 333-279584​</w:t>
      </w:r>
    </w:p>
    <w:p>
      <w:pPr>
        <w:spacing w:after="0" w:line="21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Prospectus dated 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74295</wp:posOffset>
            </wp:positionV>
            <wp:extent cx="123444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5"/>
          <w:szCs w:val="25"/>
          <w:b w:val="1"/>
          <w:bCs w:val="1"/>
          <w:color w:val="auto"/>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139700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4"/>
          <w:szCs w:val="24"/>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CHJ Limited, a wholly-owned, consolidated special purpose vehicle of ours, is participating as a lender in the Singapore Exchange Securities Trading Limited securities lending program, or the SGX Securities Lending Program. Under this program, CHJ Limited will lend up to 2,000,000 of our Class A ordinary shares, US$0.00025 per share, or approximately 0.1% of our total Class A ordinary shares issued and outstanding as of the date of this prospectus supplement.</w:t>
      </w:r>
    </w:p>
    <w:p>
      <w:pPr>
        <w:spacing w:after="0" w:line="46" w:lineRule="exact"/>
        <w:rPr>
          <w:sz w:val="24"/>
          <w:szCs w:val="24"/>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Class A ordinary shares being lent hereby under the SGX Securities Lending Program, or the Loaned Shares, may be publicly traded on the Singapore Exchange during the loan period from the date of this prospectus until the loan of shares is terminated either by The Central Depository (Pte) Limited, also known as CDP, or else by CHJ Limited. The Loaned Shares may be borrowed by borrowers registered under the SGX Securities Lending Program. Such registered borrowers may be clearing members admitted to be a member of CDP for clearing, depositary agents registered with CDP, banks licensed by the Monetary Authority of Singapore under the Banking Act 1970 of Singapore meeting a minimum credit rating and entities licensed to deal in securities either in Singapore or in selected foreign jurisdictions. See “Description of Share Lending Arrangements.” We are registering the Class A ordinary shares being registered hereby in connection with the sale of such shares to the extent that they are sold to U.S. persons, as defined under Regulation S, or for the account or benefit of U.S. persons. Save for a lending fee to be paid to CHJ Limited under the SGX Securities Lending Program, neither we nor CHJ Limited will receive any proceeds from the lending of the Class A ordinary shares being registered hereby.</w:t>
      </w:r>
    </w:p>
    <w:p>
      <w:pPr>
        <w:spacing w:after="0" w:line="68" w:lineRule="exact"/>
        <w:rPr>
          <w:sz w:val="24"/>
          <w:szCs w:val="24"/>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ADSs are listed on the New York Stock Exchange under the symbol “NIO.” On May 20, 2024, the last reported sale price of the ADSs on the New York Stock Exchange was US$ 5.22 per ADS. Our Class A ordinary shares are listed on The Stock Exchange of Hong Kong Limited, or the Hong Kong Stock Exchange, under the stock code “9866.” On May 20, 2024, the last reported trading price of the Class A ordinary shares on the Hong Kong Stock Exchange was HK$39.85 per share, or US$5.10 per ADS based on an exchange rate of HK$7.8109 to US$1.00 as of December 29, 2023. Our Class A ordinary shares are listed on the Singapore Exchange under the symbol “NIO.” On May 20, 2024, the last reported trading price of the Class A ordinary shares on the Singapore Exchange was US$5.16 per share, or US$5.16 per ADS.</w:t>
      </w:r>
    </w:p>
    <w:p>
      <w:pPr>
        <w:spacing w:after="0" w:line="47" w:lineRule="exact"/>
        <w:rPr>
          <w:sz w:val="24"/>
          <w:szCs w:val="24"/>
          <w:color w:val="auto"/>
        </w:rPr>
      </w:pPr>
    </w:p>
    <w:p>
      <w:pPr>
        <w:jc w:val="both"/>
        <w:ind w:left="1260" w:right="399" w:firstLine="360"/>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Investing in our ADSs and Class A ordinary shares involves risks. See “Risk Factors” beginning on page </w:t>
      </w:r>
      <w:r>
        <w:rPr>
          <w:rFonts w:ascii="Times New Roman" w:cs="Times New Roman" w:eastAsia="Times New Roman" w:hAnsi="Times New Roman"/>
          <w:sz w:val="18"/>
          <w:szCs w:val="18"/>
          <w:b w:val="1"/>
          <w:bCs w:val="1"/>
          <w:u w:val="single" w:color="auto"/>
          <w:color w:val="0000EE"/>
        </w:rPr>
        <w:t>S</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b w:val="1"/>
          <w:bCs w:val="1"/>
          <w:u w:val="single" w:color="auto"/>
          <w:color w:val="0000EE"/>
        </w:rPr>
        <w:t>21</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1112520</wp:posOffset>
            </wp:positionH>
            <wp:positionV relativeFrom="paragraph">
              <wp:posOffset>-91440</wp:posOffset>
            </wp:positionV>
            <wp:extent cx="3492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925" cy="13970"/>
                    </a:xfrm>
                    <a:prstGeom prst="rect">
                      <a:avLst/>
                    </a:prstGeom>
                    <a:noFill/>
                  </pic:spPr>
                </pic:pic>
              </a:graphicData>
            </a:graphic>
          </wp:anchor>
        </w:drawing>
      </w:r>
    </w:p>
    <w:p>
      <w:pPr>
        <w:spacing w:after="0" w:line="2" w:lineRule="exact"/>
        <w:rPr>
          <w:sz w:val="24"/>
          <w:szCs w:val="24"/>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NIO Inc. is not an operating company in China but a Cayman Islands holding company with no equity ownership in its consolidated variable interest entities, or VIEs. Investors in our ADSs and Class A ordinary shares thus are not purchasing equity interests in the VIEs in China but instead are purchasing equity interests in a Cayman Islands holding company. As used in this prospectus supplement, “NIO,” “we,” “us,” “our company,” and “our” refer to NIO Inc., our Cayman Islands holding company and its subsidiaries, and in the context of describing our operations and consolidated financial information, include the VIEs, namely Beijing NIO, Anhui NIO AT and Anhui NIO DT, and their respective subsidiaries, where applicable.</w:t>
      </w:r>
    </w:p>
    <w:p>
      <w:pPr>
        <w:spacing w:after="0" w:line="46" w:lineRule="exact"/>
        <w:rPr>
          <w:sz w:val="24"/>
          <w:szCs w:val="24"/>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conduct our operations in China (i) primarily through our PRC subsidiaries, and (ii) to a much lesser extent, through the VIEs, namely Beijing NIO, Anhui NIO AT, and Anhui NIO DT, with each of which we maintain contractual arrangements, and their subsidiary. We have also established subsidiaries in the United States, Germany, the United Kingdom, Norway and other overseas jurisdictions to promote our services and businesses, entering into business contracts with offshore counterparties and holding overseas intellectual properties. PRC laws and regulations (i) restrict and impose conditions on foreign investment in value-added telecommunication services, including without limitation, performing internet information services as well as holding certain related licenses; and (ii) prohibit foreign investment in certain services related to autonomous driving as well as the holding of licenses by foreign entities. Additionally, in practice, subject to the qualifications set by China Banking and Insurance Regulatory Commission for foreign shareholders of the insurance brokerage companies, the China Banking and Insurance Regulatory Commission typically would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361315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not approve the establishment of foreign-invested insurance brokerage companies which perform insurance brokerage services and hold certain related licenses. Accordingly, we operate these businesses in China through the VIEs and the subsidiary of one of the VIEs. However, these particular businesses are not significant. The VIEs, taking into account all of their respective businesses with or without foreign investment restrictions under PRC laws, did not make a significant contribution to our total revenues in 2021, 2022 and 2023 and did not have significant operations or any material assets or liabilities.</w:t>
      </w:r>
    </w:p>
    <w:p>
      <w:pPr>
        <w:spacing w:after="0" w:line="60" w:lineRule="exact"/>
        <w:rPr>
          <w:sz w:val="20"/>
          <w:szCs w:val="20"/>
          <w:color w:val="auto"/>
        </w:rPr>
      </w:pPr>
    </w:p>
    <w:p>
      <w:pPr>
        <w:jc w:val="both"/>
        <w:ind w:left="1260" w:right="419" w:firstLine="360"/>
        <w:spacing w:after="0" w:line="24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corporate structure is subject to risks associated with our contractual arrangements with the VIEs. If the PRC government deems that our contractual arrangements with our VIE arrangements do not comply with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Our holding company, our PRC subsidiaries, the VIEs and investors in our company face uncertainty about potential future actions by the PRC government that could affect the enforceability of the contractual arrangements with the VIEs and, consequently, the business, financial condition and results of operations of the VIEs and our company as a whole. For a detailed description of the risks associated with our corporate structure, please refer to </w:t>
      </w:r>
      <w:hyperlink r:id="rId12">
        <w:r>
          <w:rPr>
            <w:rFonts w:ascii="Times New Roman" w:cs="Times New Roman" w:eastAsia="Times New Roman" w:hAnsi="Times New Roman"/>
            <w:sz w:val="18"/>
            <w:szCs w:val="18"/>
            <w:color w:val="auto"/>
          </w:rPr>
          <w:t xml:space="preserve">“Item 3. Key Information — D. Risk Factors — Risks Related to Our Corporate Structure” in our </w:t>
        </w:r>
        <w:r>
          <w:rPr>
            <w:rFonts w:ascii="Times New Roman" w:cs="Times New Roman" w:eastAsia="Times New Roman" w:hAnsi="Times New Roman"/>
            <w:sz w:val="18"/>
            <w:szCs w:val="18"/>
            <w:u w:val="single" w:color="auto"/>
            <w:color w:val="0000EE"/>
          </w:rPr>
          <w:t>annual</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EE"/>
          </w:rPr>
          <w:t>report on Form 20 -F for the fiscal year ended December 31, 2023</w:t>
        </w:r>
        <w:r>
          <w:rPr>
            <w:rFonts w:ascii="Times New Roman" w:cs="Times New Roman" w:eastAsia="Times New Roman" w:hAnsi="Times New Roman"/>
            <w:sz w:val="18"/>
            <w:szCs w:val="18"/>
            <w:color w:val="000000"/>
          </w:rPr>
          <w:t>, or the 2023 Annual Report, which is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in the accompanying prospectus by reference.</w:t>
      </w:r>
    </w:p>
    <w:p>
      <w:pPr>
        <w:spacing w:after="0" w:line="279"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related to doing business in China and we are subject to the complex and evolving PRC laws and regulations. The PRC government has significant authority to exert influence on the ability of a China-based company, such as us, to conduct its business. Therefore, investors of our company and our business face potential uncertainty from the PRC government. Changes in China’s economic, political or social conditions or government policies could have a material and adverse effect on our business and results of operations. For example, we face risks associated with regulatory approvals on offshore capital raising activities of listed companies, antimonopoly regulatory actions, the use of the VIE structure and oversight on cybersecurity and data privacy. These risks could result in a material adverse change in our operations and the value of our ADSs and Class A ordinary shares, significantly limit or completely hinder our ability to continue to offer securities to investors, or cause the value of such securities to significantly decline. For a detailed description of risks related to doing business in China, see “Item 3. Key Information — D. Risk Factors — Risks Related to Doing Business in China” in the 2023 Annual Report.</w:t>
      </w:r>
    </w:p>
    <w:p>
      <w:pPr>
        <w:spacing w:after="0" w:line="26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NIO Inc. is a holding company with no material operations of its own. As a result, although other means are available for us to obtain financing at the holding company level, NIO Inc.’s ability to pay dividends to the shareholders and to service any debt it may incur may depend upon dividends paid by our PRC subsidiaries and service fees paid by the VIE in China. Under PRC law, NIO Inc. may provide funding to our PRC subsidiaries only through capital contributions or loans, and to the VIEs only through loans, subject to satisfaction of applicable government registration and approval requirements. NIO Inc. and its subsidiaries extended loans to the nominee shareholders of the VIEs for their investment in the VIEs, with outstanding principal amount of RMB0.1 million, RMB50.1 million and RMB50.1 million (US$7.1 million) as of December 31, 2021, 2022 and 2023, respectively. In addition, NIO Inc. and its subsidiaries also extended loans to the VIEs for operations with outstanding principal amount of RMB7.0 million, RMB32.8 million and RMB86.9 million (US$12.2 million) as of December 31, 2021, 2022 and 2023, respectively. NIO Inc. has not declared or paid any cash dividends, nor does it have any present plan to pay any cash dividends on our ordinary shares in the foreseeable future. We currently intend to retain most, if not all, of our available funds and any future earnings to operate and expand our business. For more details, see “Prospectus Supplement Summary — Cash and Asset Flows through Our Organization” in this prospectus supplement.</w:t>
      </w:r>
    </w:p>
    <w:p>
      <w:pPr>
        <w:spacing w:after="0" w:line="254"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Neither the United States Securities and Exchange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153035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The date of this prospectus supplement is May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1136015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8"/>
          <w:szCs w:val="18"/>
          <w:color w:val="0000EE"/>
        </w:rPr>
        <w:t>SPECIAL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NOTES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SUPPLEMENT SUMMARY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LENDING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31184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18485" cy="8255"/>
                    </a:xfrm>
                    <a:prstGeom prst="rect">
                      <a:avLst/>
                    </a:prstGeom>
                    <a:noFill/>
                  </pic:spPr>
                </pic:pic>
              </a:graphicData>
            </a:graphic>
          </wp:anchor>
        </w:drawing>
      </w:r>
    </w:p>
    <w:p>
      <w:pPr>
        <w:spacing w:after="0" w:line="20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AMERICAN DEPOSITARY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ENFORCEABILITY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S-28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ectPr>
          <w:pgSz w:w="11900" w:h="16838" w:orient="portrait"/>
          <w:cols w:equalWidth="0" w:num="2">
            <w:col w:w="8220" w:space="720"/>
            <w:col w:w="93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jc w:val="both"/>
        <w:ind w:left="1260" w:right="41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document is in two parts. The first part is this prospectus supplement, which describes the registration of certain Class A ordinary shares under the share lending arrangements as described under “Description of Share Lending Arrangements” and also adds to and updates information contained in the accompanying prospectus and the documents incorporated by reference in the accompanying prospectus. The second part is the accompanying prospectus dated May 21, 2024 included in the registration statement on </w:t>
      </w:r>
      <w:hyperlink r:id="rId30">
        <w:r>
          <w:rPr>
            <w:rFonts w:ascii="Times New Roman" w:cs="Times New Roman" w:eastAsia="Times New Roman" w:hAnsi="Times New Roman"/>
            <w:sz w:val="18"/>
            <w:szCs w:val="18"/>
            <w:u w:val="single" w:color="auto"/>
            <w:color w:val="0000EE"/>
          </w:rPr>
          <w:t>Form F-3 (No. 333-279584)</w:t>
        </w:r>
      </w:hyperlink>
      <w:r>
        <w:rPr>
          <w:rFonts w:ascii="Times New Roman" w:cs="Times New Roman" w:eastAsia="Times New Roman" w:hAnsi="Times New Roman"/>
          <w:sz w:val="18"/>
          <w:szCs w:val="18"/>
          <w:color w:val="auto"/>
        </w:rPr>
        <w:t>, which provides more general information.</w:t>
      </w:r>
    </w:p>
    <w:p>
      <w:pPr>
        <w:spacing w:after="0" w:line="120"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Both parts of the document contain information you should consider when making your investment decision. You should rely only on the information included or documents incorporated by reference in the accompanying prospectus. Neither we nor CHJ Limited has authorized anyone else to provide you with different information. If anyone provides you with different or inconsistent information, you should not rely on such different or inconsistent information. The Class A ordinary shares registered hereby will be offered only in jurisdictions where it is lawful to do so. The information contained in this prospectus supplement, the accompanying prospectus and the documents incorporated in the accompanying prospectus by reference is current only as of the date of the document containing such information. Our business, financial condition, results of operations and prospects may have changed since those dates. Neither this prospectus supplement nor the accompanying prospectus constitutes an offer, or an invitation on our behalf or on behalf of CHJ Limited, to subscribe for and purchase, any of our ADSs or Class A ordinary shares and may not be used for or in connection with an offer or solicitation by anyone, in any jurisdiction in which such an offer or solicitation is not authorized or to any person to whom it is unlawful to make such an offer or solicitation.</w:t>
      </w:r>
    </w:p>
    <w:p>
      <w:pPr>
        <w:spacing w:after="0" w:line="1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any document incorporated by reference in the accompanying prospectus, on the other hand, you should rely on the information in this prospectus supplement.</w:t>
      </w:r>
    </w:p>
    <w:p>
      <w:pPr>
        <w:spacing w:after="0" w:line="11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Capitalized terms used in this prospectus supplement but not defined herein are defined in the accompanying prospectus, in the 2023 Annual Report that is incorporated therein by reference.</w:t>
      </w:r>
    </w:p>
    <w:p>
      <w:pPr>
        <w:spacing w:after="0" w:line="9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published our consolidated financial statements in RMB. Our business is primarily conducted in China and substantially all of our revenues are denominated in RMB. The conversion of RMB into U.S. dollars in this prospectus supplement is based on the exchange rate set forth in the H.10 statistical release of the Board of Governors of the Federal Reserve System. Unless otherwise noted, all translations from Renminbi to U.S. dollars and from U.S. dollars to Renminbi in this prospectus supplement are made at the rate as of the end of the applicable period, that is, RMB7.0999 to US$1.00, the exchange rate in effect as of December 29, 2023. We make no representation that any RMB or U.S. dollar amounts could have been, or could be, converted into U.S. dollars or RMB, as the case may be, at any particular rate, or at all. The PRC government imposes control over its foreign currency reserves in part through direct regulation of the conversion of RMB into foreign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SPECIAL NOTES REGARDING FORWARD-LOOKING STATEMENTS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therein may contain forward-looking statements that involve risks and uncertainties. All statements other than statements of historical facts are forward-looking statements. These statements are made under the “safe harbor” provisions of the U.S. Private Securities Litigation Reform Act of 1995. 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287" w:lineRule="exact"/>
        <w:rPr>
          <w:sz w:val="20"/>
          <w:szCs w:val="20"/>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growth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electric vehicles industry in China;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customers, contract manufacturers, component suppliers, third-party service providers, strategic partners and other stakeholders;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us, and their future development;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15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forward-looking statements included in this prospectus supplement, the accompanying prospectus and the information incorporated by reference therein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prospectus supplement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 looking statements. You should read thoroughly this prospectus supplement and the documents that we refer to with the understanding that our actual future results may be materially different from, or worse than, what we expect. We qualify all of our forward-looking statements by these cautionary statements.</w:t>
      </w:r>
    </w:p>
    <w:p>
      <w:pPr>
        <w:spacing w:after="0" w:line="12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therein contain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and adverse effect on our business and the market price of our ADSs and Class A ordinary shares.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w:t>
      </w:r>
    </w:p>
    <w:p>
      <w:pPr>
        <w:spacing w:after="0" w:line="337"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 forward-looking statements and you should read these statements in conjunction with the risk factors disclosed in the documents incorporated by reference in the accompanying prospectus for a more complete discussion of the risks of an investment in our securities and other risks outlined in our other filings with the SEC. The forward-looking statements included in this prospectus supplement or the accompanying prospectus or incorporated by reference into the accompanying prospectus are made only as of the date of the document in which those statements were originally made, and we do not undertake any obligation to update the forward-looking statements except as required under applicable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499110</wp:posOffset>
            </wp:positionV>
            <wp:extent cx="5516245" cy="8113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516245"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2"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The following summary is qualified in its entirety by, and should be read in conjunction with, the more detailed information and financial statements and notes thereto appearing elsewhere in this prospectus supplement, the accompanying prospectus and the documents incorporated by reference therein. In addition to this summary, we urge you to carefully read the entire prospectus supplement and the accompanying prospectus, including the documents incorporated by reference therein, the information included under the sections entitled “Item 3. Key Information — D. Risk Factors” and “Item 4. Information on the Company” in the 2023 Annual Report and the financial statements and the related notes thereto in the 2023 Annual Report which are incorporated by reference in the accompanying prospectus.</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99" w:lineRule="exact"/>
        <w:rPr>
          <w:sz w:val="20"/>
          <w:szCs w:val="20"/>
          <w:color w:val="auto"/>
        </w:rPr>
      </w:pPr>
    </w:p>
    <w:p>
      <w:pPr>
        <w:jc w:val="both"/>
        <w:ind w:left="1280" w:right="399" w:firstLine="360"/>
        <w:spacing w:after="0" w:line="269" w:lineRule="auto"/>
        <w:rPr>
          <w:sz w:val="20"/>
          <w:szCs w:val="20"/>
          <w:color w:val="auto"/>
        </w:rPr>
      </w:pPr>
      <w:r>
        <w:rPr>
          <w:rFonts w:ascii="Times New Roman" w:cs="Times New Roman" w:eastAsia="Times New Roman" w:hAnsi="Times New Roman"/>
          <w:sz w:val="18"/>
          <w:szCs w:val="18"/>
          <w:color w:val="auto"/>
        </w:rPr>
        <w:t xml:space="preserve">Our Chinese name, Weilai ( </w:t>
      </w:r>
      <w:r>
        <w:rPr>
          <w:sz w:val="1"/>
          <w:szCs w:val="1"/>
          <w:color w:val="auto"/>
        </w:rPr>
        <w:drawing>
          <wp:inline distT="0" distB="0" distL="0" distR="0">
            <wp:extent cx="231140" cy="1200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231140" cy="120015"/>
                    </a:xfrm>
                    <a:prstGeom prst="rect">
                      <a:avLst/>
                    </a:prstGeom>
                    <a:noFill/>
                    <a:ln>
                      <a:noFill/>
                    </a:ln>
                  </pic:spPr>
                </pic:pic>
              </a:graphicData>
            </a:graphic>
          </wp:inline>
        </w:drawing>
      </w:r>
      <w:r>
        <w:rPr>
          <w:rFonts w:ascii="Times New Roman" w:cs="Times New Roman" w:eastAsia="Times New Roman" w:hAnsi="Times New Roman"/>
          <w:sz w:val="18"/>
          <w:szCs w:val="18"/>
          <w:color w:val="auto"/>
        </w:rPr>
        <w:t>), which means Blue Sky Coming, reflects our commitment to a more environmentally friendly future.</w:t>
      </w:r>
    </w:p>
    <w:p>
      <w:pPr>
        <w:spacing w:after="0" w:line="91"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We are a pioneer and a leading company in the premium smart electric vehicle market. We design, develop, manufacture, and sell premium smart electric vehicles, driving innovations in next-generation technologies in assisted and intelligent driving, digital technologies, electric powertrains and batteries. We differentiate ourselves through our continuous technological breakthroughs and innovations, such as our industry-leading battery swapping technologies, Battery as a Service, or BaaS, as well as our proprietary NIO assisted and intelligent driving and its subscription services.</w:t>
      </w:r>
    </w:p>
    <w:p>
      <w:pPr>
        <w:spacing w:after="0" w:line="120"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design, develop, manufacture and sell our vehicles in the premium smart electric vehicle market. We currently offer our products and services in China, Norway, Germany, the Netherlands, Denmark and Sweden and plan to expand into more global markets to capture the fast-growing EV demand.</w:t>
      </w:r>
    </w:p>
    <w:p>
      <w:pPr>
        <w:spacing w:after="0" w:line="108"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We introduced the EP9 supercar in 2016, which was the then fastest electric vehicle, setting the Nurburgring Nordschleife all-electric vehicle lap record. Starting from December 2017, we launched a succession of well-positioned vehicle models and established a competitive product portfolio, including the ES8, a six-seater smart electric flagship SUV, the ES7 (or the EL7), a mid-large five-seater smart electric SUV, the ES6 (or the EL6), a five-seater all-round smart electric SUV, the EC7, a five-seater smart electric flagship coupe SUV, the EC6, a five-seater smart electric coupe SUV, the ET9, a smart electric executive flagship, the ET7, a smart electric flagship sedan, the ET5, a mid-size smart electric sedan, and the ET5T, a smart electric tourer.</w:t>
      </w:r>
    </w:p>
    <w:p>
      <w:pPr>
        <w:spacing w:after="0" w:line="324"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In 2023, we completed our product lineup on the NIO Technology 2.0 (NT2.0) by starting deliveries of the EC7, All-New ES6, All-New ES8, ET5T, and All-New EC6. With enhanced driving and riding experiences with exquisite design, high performance, superior comfort, and advanced digital systems, our product portfolio caters to wide-ranging journeys of users for their family, business and leisure needs. In December 2023, we launched the ET9, a smart electric executive flagship. The ET9 embodies our latest advancements in technological research and development, presenting a combination of flagship-style exterior, innovative executive space, leading driving and riding experience, intelligent technologies, efficient power solutions, and comprehensive safety standards. We expect to start deliveries of the ET9 in the first quarter of 2025.</w:t>
      </w:r>
    </w:p>
    <w:p>
      <w:pPr>
        <w:spacing w:after="0" w:line="340"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Inheriting our high-performance DNA marked by dual-motor intelligent All-Wheel-Drive system, all NIO models are able to achieve outstanding performances in 0-100 km/h and braking distance. Enabled by battery swapping technology, all our models are compatible with different battery packs including Standard Range Battery, Long Range Battery and Ultra-Long Range Battery, supporting different driving ranges and providing an upgradable and flexible user experience. We aim to deliver products with the highest safety and quality standards to our users in line with our core values and commitments.</w:t>
      </w:r>
    </w:p>
    <w:p>
      <w:pPr>
        <w:spacing w:after="0" w:line="120"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We believe our vehicles are well-positioned in the premium smart electric vehicle market. We delivered 160,038 vehicles, including 92,186 premium smart electric SUVs and 67,852 premium smart electric sedans in 2023. On May 15, 2024, we launched our second brand, ONVO, which stands for “On Voyage,” targeting the mainstream family market. The first model of our ONVO brand, L60, will be a family-centric smart BEV well-positioned for the family BEV market. We are also developing more products to expand our addressable market segments.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76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516245" cy="82765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Notes:</w:t>
      </w:r>
    </w:p>
    <w:p>
      <w:pPr>
        <w:spacing w:after="0" w:line="69" w:lineRule="exact"/>
        <w:rPr>
          <w:sz w:val="20"/>
          <w:szCs w:val="20"/>
          <w:color w:val="auto"/>
        </w:rPr>
      </w:pPr>
    </w:p>
    <w:p>
      <w:pPr>
        <w:ind w:left="1640" w:hanging="362"/>
        <w:spacing w:after="0"/>
        <w:tabs>
          <w:tab w:leader="none" w:pos="1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currently available models for sale.</w:t>
      </w:r>
    </w:p>
    <w:p>
      <w:pPr>
        <w:spacing w:after="0" w:line="82" w:lineRule="exact"/>
        <w:rPr>
          <w:sz w:val="20"/>
          <w:szCs w:val="20"/>
          <w:color w:val="auto"/>
        </w:rPr>
      </w:pPr>
    </w:p>
    <w:p>
      <w:pPr>
        <w:jc w:val="both"/>
        <w:ind w:left="1640" w:right="399" w:hanging="362"/>
        <w:spacing w:after="0" w:line="309" w:lineRule="auto"/>
        <w:tabs>
          <w:tab w:leader="none" w:pos="1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China Light-Duty Vehicle Test Cycle, or the CLTC, range. The driving ranges are based on the officially filed documents or engineering test results, which may vary due to different road types, weather and road conditions, battery level, loading and tires.</w:t>
      </w:r>
    </w:p>
    <w:p>
      <w:pPr>
        <w:spacing w:after="0" w:line="179" w:lineRule="exact"/>
        <w:rPr>
          <w:sz w:val="20"/>
          <w:szCs w:val="20"/>
          <w:color w:val="auto"/>
        </w:rPr>
      </w:pPr>
    </w:p>
    <w:p>
      <w:pPr>
        <w:ind w:left="1640" w:hanging="362"/>
        <w:spacing w:after="0"/>
        <w:tabs>
          <w:tab w:leader="none" w:pos="1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 kWh battery is expected to be available in the near future.</w:t>
      </w:r>
    </w:p>
    <w:p>
      <w:pPr>
        <w:spacing w:after="0" w:line="82" w:lineRule="exact"/>
        <w:rPr>
          <w:rFonts w:ascii="Times New Roman" w:cs="Times New Roman" w:eastAsia="Times New Roman" w:hAnsi="Times New Roman"/>
          <w:sz w:val="14"/>
          <w:szCs w:val="14"/>
          <w:color w:val="auto"/>
        </w:rPr>
      </w:pPr>
    </w:p>
    <w:p>
      <w:pPr>
        <w:ind w:left="1640" w:hanging="362"/>
        <w:spacing w:after="0"/>
        <w:tabs>
          <w:tab w:leader="none" w:pos="1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starting manufacturer’s suggested retail price, or the MSRP, in China as of the date of this prospectus supplement.</w:t>
      </w:r>
    </w:p>
    <w:p>
      <w:pPr>
        <w:spacing w:after="0" w:line="2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Key Technological Breakthroughs and Innovations</w:t>
      </w:r>
    </w:p>
    <w:p>
      <w:pPr>
        <w:spacing w:after="0" w:line="148"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Since our inception, we have remained committed to innovation and dedicated to investing in research and development of core technologies. Our technological breakthroughs and innovations differentiate us from our peers, creating better user experiences and enhancing our users’ confidence in us. We have strategically focused on building in- house capabilities including battery swapping, assisted and intelligent driving, digital technologies, electric powertrain and battery, vehicle engineering and design, among others, to control the design and development of the vehicle software and hardware architecture and the critical components that go into our products. Our capabilities have given us greater flexibility to continually improve our current products and allow us to launch new products. By integrating these industry-leading technologies, all of our vehicles can create a relaxing, interactive, intelligent and immersive experience for our users.</w:t>
      </w:r>
    </w:p>
    <w:p>
      <w:pPr>
        <w:spacing w:after="0" w:line="328"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We have strategically located our research and development offices in locations where we believe give us access to the best talent. Our global research and development center for production models is located in Shanghai. Our advanced vehicle manufacturing center is located in Hefei. Our global research and development center for software is located in Beijing. Our global research and development center for assisted and intelligent driving is located in San Jose. Our global design center is located in Munich. Our global research and development center for advanced engineering is located in Oxford.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Battery Swapping and BaaS</w:t>
      </w:r>
    </w:p>
    <w:p>
      <w:pPr>
        <w:spacing w:after="0" w:line="162"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All of our smart electric vehicles are equipped with proprietary battery swapping technologies, providing our users with a “chargeable, swappable, upgradable” experience. We also offer Battery as a Service, or BaaS, an industry-first innovative model which allows users to purchase electric vehicles and subscribe for the usage of batteries separately. BaaS enables our users to benefit from lower vehicle purchase prices, flexible battery upgrade options and assurance of battery performance.</w:t>
      </w:r>
    </w:p>
    <w:p>
      <w:pPr>
        <w:spacing w:after="0" w:line="69" w:lineRule="exact"/>
        <w:rPr>
          <w:sz w:val="20"/>
          <w:szCs w:val="20"/>
          <w:color w:val="auto"/>
        </w:rPr>
      </w:pPr>
    </w:p>
    <w:p>
      <w:pPr>
        <w:jc w:val="both"/>
        <w:ind w:left="1820" w:right="399" w:hanging="182"/>
        <w:spacing w:after="0" w:line="27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Battery Swapping. </w:t>
      </w:r>
      <w:r>
        <w:rPr>
          <w:rFonts w:ascii="Times New Roman" w:cs="Times New Roman" w:eastAsia="Times New Roman" w:hAnsi="Times New Roman"/>
          <w:sz w:val="18"/>
          <w:szCs w:val="18"/>
          <w:color w:val="auto"/>
        </w:rPr>
        <w:t>Supported by over 1,600 patented technologies as of December 31, 2023,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vehicles support battery swapping. It provides our users with convenient “recharging” experiences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594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516245"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spacing w:after="0" w:line="246" w:lineRule="auto"/>
        <w:rPr>
          <w:sz w:val="20"/>
          <w:szCs w:val="20"/>
          <w:color w:val="auto"/>
        </w:rPr>
      </w:pPr>
      <w:r>
        <w:rPr>
          <w:rFonts w:ascii="Times New Roman" w:cs="Times New Roman" w:eastAsia="Times New Roman" w:hAnsi="Times New Roman"/>
          <w:sz w:val="18"/>
          <w:szCs w:val="18"/>
          <w:color w:val="auto"/>
        </w:rPr>
        <w:t>by simply swapping the user’s battery for another one within minutes. Moreover, it enables users to enjoy the benefits of battery technology advancements with upgrade options. Additionally, during each battery swap, a comprehensive health assessment on the battery and electric drive system is performed to ensure optimal condition of the vehicle. In December 2023, we introduced Power Swap Station 4.0, which boasts enhanced efficiency improvements and can reach a service capacity of up to 480 swaps per day. Equipped with Lidars and NVIDIA DRIVE Orin X chips, it possesses the capability to conduct fully automatic swap and handle complex environments for more intelligent vehicle-station connectivity. Power Swap Station 4.0 is compatible with multiple vehicle brands.</w:t>
      </w:r>
    </w:p>
    <w:p>
      <w:pPr>
        <w:spacing w:after="0" w:line="67" w:lineRule="exact"/>
        <w:rPr>
          <w:sz w:val="20"/>
          <w:szCs w:val="20"/>
          <w:color w:val="auto"/>
        </w:rPr>
      </w:pPr>
    </w:p>
    <w:p>
      <w:pPr>
        <w:jc w:val="both"/>
        <w:ind w:left="1820" w:right="399" w:hanging="182"/>
        <w:spacing w:after="0" w:line="255"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BaaS. </w:t>
      </w:r>
      <w:r>
        <w:rPr>
          <w:rFonts w:ascii="Times New Roman" w:cs="Times New Roman" w:eastAsia="Times New Roman" w:hAnsi="Times New Roman"/>
          <w:sz w:val="18"/>
          <w:szCs w:val="18"/>
          <w:color w:val="auto"/>
        </w:rPr>
        <w:t>Enabled by vehicle-battery separation and battery subscription, BaaS decouples the battery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from the purchase price of a vehicle and allows users to subscribe for battery usage separately. For each user under the BaaS model, we sell a battery to the Battery Asset Company, and the user subscribes for the usage of the battery from the Battery Asset Company. If users opt to purchase a NIO vehicle and subscribe for the battery under BaaS, they can enjoy a deduction off the original vehicle purchase price while paying a monthly subscription fee for the battery. NIO users are able to enjoy permanent or flexible upgrades to batteries with higher capacities or other future battery options with an additional fee as the battery technologies evolve.</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Assisted and Intelligent Driving and Subscription</w:t>
      </w:r>
    </w:p>
    <w:p>
      <w:pPr>
        <w:spacing w:after="0" w:line="162"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believe that assisted and intelligent driving is the core of smart electric vehicles, and it has been our focus from day one. We are one of the first companies in China to offer enhanced ADAS capabilities and we have been dedicated to developing our proprietary full-stack assisted and intelligent driving capabilities.</w:t>
      </w:r>
    </w:p>
    <w:p>
      <w:pPr>
        <w:spacing w:after="0" w:line="95"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NIO assisted and intelligent driving, or NAD, our full-stack in-house developed assisted and intelligent driving capabilities, is equipped with our proprietary perception algorithms, localization, control strategy and platform software. The technology comprises NIO Adam, a super computing platform with outstanding computing power, and NIO Aquila, a super sensing system equipped with high-performance sensors including LiDAR. With the gradual release of certain features of the NAD through Navigate on Pilot Plus, or NOP+, a driving assist feature based on NT2.0 to users, our generalization capability and collective intelligence capability have seen rapid growth. Currently, NOP+ has been made available for expressways, urban areas, parking and battery swapping, and is being gradually released to all NT2.0 users starting from the end of April 2024, delivering a safer and more relaxing assisted and intelligent driving experience for our users.</w:t>
      </w:r>
    </w:p>
    <w:p>
      <w:pPr>
        <w:spacing w:after="0" w:line="337" w:lineRule="exact"/>
        <w:rPr>
          <w:sz w:val="20"/>
          <w:szCs w:val="20"/>
          <w:color w:val="auto"/>
        </w:rPr>
      </w:pPr>
    </w:p>
    <w:p>
      <w:pPr>
        <w:jc w:val="both"/>
        <w:ind w:left="1280" w:right="399" w:firstLine="360"/>
        <w:spacing w:after="0" w:line="259" w:lineRule="auto"/>
        <w:rPr>
          <w:sz w:val="20"/>
          <w:szCs w:val="20"/>
          <w:color w:val="auto"/>
        </w:rPr>
      </w:pPr>
      <w:r>
        <w:rPr>
          <w:rFonts w:ascii="Times New Roman" w:cs="Times New Roman" w:eastAsia="Times New Roman" w:hAnsi="Times New Roman"/>
          <w:sz w:val="18"/>
          <w:szCs w:val="18"/>
          <w:color w:val="auto"/>
        </w:rPr>
        <w:t>In addition, we have commenced our in-house research and development of the intelligent driving chipset to maximize the assisted and intelligent driving algorithm efficiency. In December 2023, we unveiled our first proprietary automotive-grade chip for assisted and intelligent driving, the NX9031. We intend to integrate this chip into our future products to enhance the intelligent driving experience for our users.</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Digital Technologies</w:t>
      </w:r>
    </w:p>
    <w:p>
      <w:pPr>
        <w:spacing w:after="0" w:line="2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Digital System</w:t>
      </w:r>
    </w:p>
    <w:p>
      <w:pPr>
        <w:spacing w:after="0" w:line="160"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Digital system is the foundation for us to achieve continuous upgrades through over-the-air updates, the digital platform for building our own proprietary software and algorithms and the security system for deep reassurance.</w:t>
      </w:r>
    </w:p>
    <w:p>
      <w:pPr>
        <w:spacing w:after="0" w:line="95"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On top of our proprietary software architecture and cloud data platform, SkyOS, our all-domain vehicle operating system, has what we believe to be the industry-leading connectivity and remote service capabilities with an end-to-end security framework. By seamlessly integrating and efficiently collaborating various systems, including intelligent driving, vehicle control, digital cockpit, and connectivity, SkyOS provides a secure, intelligent and smooth driving experience to users.</w:t>
      </w:r>
    </w:p>
    <w:p>
      <w:pPr>
        <w:spacing w:after="0" w:line="1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Digital Cockpit</w:t>
      </w:r>
    </w:p>
    <w:p>
      <w:pPr>
        <w:spacing w:after="0" w:line="160"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Our digital cockpit has an AI-driven, scalable and flexible architecture that presents users with an intelligent and immersive digital experience. We have built flexibility into the digital cockpit, so that we can continue to update the cockpit’s operating system with new features and applications.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76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80" w:right="399" w:firstLine="360"/>
        <w:spacing w:after="0" w:line="238" w:lineRule="auto"/>
        <w:rPr>
          <w:sz w:val="20"/>
          <w:szCs w:val="20"/>
          <w:color w:val="auto"/>
        </w:rPr>
      </w:pPr>
      <w:r>
        <w:rPr>
          <w:rFonts w:ascii="Times New Roman" w:cs="Times New Roman" w:eastAsia="Times New Roman" w:hAnsi="Times New Roman"/>
          <w:sz w:val="18"/>
          <w:szCs w:val="18"/>
          <w:color w:val="auto"/>
        </w:rPr>
        <w:t>Inspired by the concept of creating a mobile living space, providing a caring emotion companion while connecting products, services and community, we have launched PanoCinema, a panoramic digital cockpit with AR and VR capabilities, to bring immersive audio and visual experiences to our users. Inside our digital cockpit, NOMI, our in- car AI companion, can listen to, communicate and interact with users to build a strong emotional connection between vehicles and users. We released our NOMI GPT, a multimodal large vision model, in April 2024.</w:t>
      </w:r>
    </w:p>
    <w:p>
      <w:pPr>
        <w:spacing w:after="0" w:line="182" w:lineRule="exact"/>
        <w:rPr>
          <w:sz w:val="20"/>
          <w:szCs w:val="20"/>
          <w:color w:val="auto"/>
        </w:rPr>
      </w:pPr>
    </w:p>
    <w:p>
      <w:pPr>
        <w:jc w:val="center"/>
        <w:ind w:right="4019"/>
        <w:spacing w:after="0"/>
        <w:rPr>
          <w:sz w:val="20"/>
          <w:szCs w:val="20"/>
          <w:color w:val="auto"/>
        </w:rPr>
      </w:pPr>
      <w:r>
        <w:rPr>
          <w:rFonts w:ascii="Times New Roman" w:cs="Times New Roman" w:eastAsia="Times New Roman" w:hAnsi="Times New Roman"/>
          <w:sz w:val="18"/>
          <w:szCs w:val="18"/>
          <w:b w:val="1"/>
          <w:bCs w:val="1"/>
          <w:i w:val="1"/>
          <w:iCs w:val="1"/>
          <w:color w:val="auto"/>
        </w:rPr>
        <w:t>Electric Powertrain and Battery</w:t>
      </w:r>
    </w:p>
    <w:p>
      <w:pPr>
        <w:spacing w:after="0" w:line="2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Electric Powertrain</w:t>
      </w:r>
    </w:p>
    <w:p>
      <w:pPr>
        <w:spacing w:after="0" w:line="146"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Starting from our first product, we have designed, developed and manufactured our own proprietary electric powertrains in-house. We possess in-house research and development capabilities across motors, electric controls, reducers, and high voltage charging and distribution systems.</w:t>
      </w:r>
    </w:p>
    <w:p>
      <w:pPr>
        <w:spacing w:after="0" w:line="116" w:lineRule="exact"/>
        <w:rPr>
          <w:sz w:val="20"/>
          <w:szCs w:val="20"/>
          <w:color w:val="auto"/>
        </w:rPr>
      </w:pPr>
    </w:p>
    <w:p>
      <w:pPr>
        <w:jc w:val="both"/>
        <w:ind w:left="1280" w:right="399" w:firstLine="360"/>
        <w:spacing w:after="0" w:line="235" w:lineRule="auto"/>
        <w:rPr>
          <w:sz w:val="20"/>
          <w:szCs w:val="20"/>
          <w:color w:val="auto"/>
        </w:rPr>
      </w:pPr>
      <w:r>
        <w:rPr>
          <w:rFonts w:ascii="Times New Roman" w:cs="Times New Roman" w:eastAsia="Times New Roman" w:hAnsi="Times New Roman"/>
          <w:sz w:val="18"/>
          <w:szCs w:val="18"/>
          <w:color w:val="auto"/>
        </w:rPr>
        <w:t>Our electric powertrains are designed specifically for NIO’s vehicles, and through firmware over-the-air, we are able to continue to improve and update, and adjust according to our users’ driving behavior. Enabled by in-house research and development capabilities, our dual-motor configuration offers a variety of electric motors, including 150 -300kW induction motor and 160-210 kW permanent magnet motor. We are in the process of developing our next generation electric powertrains based on the high-voltage architecture.</w:t>
      </w:r>
    </w:p>
    <w:p>
      <w:pPr>
        <w:spacing w:after="0" w:line="20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Battery</w:t>
      </w:r>
    </w:p>
    <w:p>
      <w:pPr>
        <w:spacing w:after="0" w:line="146"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We are committed to the research, development and innovations in battery technologies and have built up the research and development capabilities throughout the lifecycle of uni-pack battery. Our batteries are based on advanced battery pack design, battery management system and proprietary swapping mechanism.</w:t>
      </w:r>
    </w:p>
    <w:p>
      <w:pPr>
        <w:spacing w:after="0" w:line="103" w:lineRule="exact"/>
        <w:rPr>
          <w:sz w:val="20"/>
          <w:szCs w:val="20"/>
          <w:color w:val="auto"/>
        </w:rPr>
      </w:pPr>
    </w:p>
    <w:p>
      <w:pPr>
        <w:jc w:val="both"/>
        <w:ind w:left="1280" w:right="399" w:firstLine="360"/>
        <w:spacing w:after="0"/>
        <w:rPr>
          <w:sz w:val="20"/>
          <w:szCs w:val="20"/>
          <w:color w:val="auto"/>
        </w:rPr>
      </w:pPr>
      <w:r>
        <w:rPr>
          <w:rFonts w:ascii="Times New Roman" w:cs="Times New Roman" w:eastAsia="Times New Roman" w:hAnsi="Times New Roman"/>
          <w:sz w:val="18"/>
          <w:szCs w:val="18"/>
          <w:color w:val="auto"/>
        </w:rPr>
        <w:t>Currently, we offer two battery options: Standard Range Battery and Long Range Battery. The Standard Range Battery currently on offer is a 75 kWh battery with lithium iron phosphate cells. With certain proprietary patents, the 100 kWh Long Range cell-to-pack battery features thermal propagation prevention, highly integrated design, all-climate thermal management and bi-directional cloud battery management system. In addition, on May 1, 2024, we launched the free trial operation of our 150 kWh battery, or the Ultra- long Range Battery with the next generation battery technology, which will continue until May 31, 2024. From June 2024, we will introduce a flexible daily rental upgrade plan for the Ultra-long Range Battery to maximize battery utilization efficiency, allowing users to experience premium battery performance at cost-effective price. We are also collaborating with our partners in developing long-life batteries.</w:t>
      </w:r>
    </w:p>
    <w:p>
      <w:pPr>
        <w:spacing w:after="0" w:line="3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Vehicle Engineering and Design Capabilities</w:t>
      </w:r>
    </w:p>
    <w:p>
      <w:pPr>
        <w:spacing w:after="0" w:line="135" w:lineRule="exact"/>
        <w:rPr>
          <w:sz w:val="20"/>
          <w:szCs w:val="20"/>
          <w:color w:val="auto"/>
        </w:rPr>
      </w:pPr>
    </w:p>
    <w:p>
      <w:pPr>
        <w:jc w:val="both"/>
        <w:ind w:left="1280" w:right="399" w:firstLine="360"/>
        <w:spacing w:after="0"/>
        <w:rPr>
          <w:sz w:val="20"/>
          <w:szCs w:val="20"/>
          <w:color w:val="auto"/>
        </w:rPr>
      </w:pPr>
      <w:r>
        <w:rPr>
          <w:rFonts w:ascii="Times New Roman" w:cs="Times New Roman" w:eastAsia="Times New Roman" w:hAnsi="Times New Roman"/>
          <w:sz w:val="18"/>
          <w:szCs w:val="18"/>
          <w:color w:val="auto"/>
        </w:rPr>
        <w:t>We have significant in-house vehicle engineering and design capabilities, covering all major areas of vehicle development starting from inception to completion, with a particular emphasis on software-driven technologies and fast iteration. For example, our in-house developed intelligent chassis controller enables redundancy control, electronic parking brake control, damper control, air spring leveling control, while achieving functional safety, cyber security and OTA updates. In addition, we have implemented integrated die casting to minimize the number of vehicle parts, reduce process steps, shorten production line length, and enhance overall efficiency.</w:t>
      </w:r>
    </w:p>
    <w:p>
      <w:pPr>
        <w:spacing w:after="0" w:line="297"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Our global design team has comprehensive design capabilities across the board, from brand, vehicles, user interface/user experience, lifestyle products to accessories.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User Development and User Community</w:t>
      </w:r>
    </w:p>
    <w:p>
      <w:pPr>
        <w:spacing w:after="0" w:line="16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reach out to and engage with our users directly through our own offline and online platforms, including NIO Houses, NIO Spaces and NIO app, and aim to build a community where we share joy and grow together with our users.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NIO House and NIO Space</w:t>
      </w:r>
    </w:p>
    <w:p>
      <w:pPr>
        <w:spacing w:after="0" w:line="148"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NIO Houses and NIO Spaces serve as the offline channels for us to reach out to and serve our users, as well as the offline platforms for NIO user community.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81" w:lineRule="auto"/>
        <w:rPr>
          <w:sz w:val="20"/>
          <w:szCs w:val="20"/>
          <w:color w:val="auto"/>
        </w:rPr>
      </w:pPr>
      <w:r>
        <w:rPr>
          <w:rFonts w:ascii="Times New Roman" w:cs="Times New Roman" w:eastAsia="Times New Roman" w:hAnsi="Times New Roman"/>
          <w:sz w:val="18"/>
          <w:szCs w:val="18"/>
          <w:color w:val="auto"/>
        </w:rPr>
        <w:t>NIO Houses have showroom functions while serving as a clubhouse for our users and their friends. Since we opened our first NIO House in Beijing in November 2017, we continue to expand our network of NIO Houses globally. As of December 31, 2023, we had 145 NIO Houses in total globally.</w:t>
      </w:r>
    </w:p>
    <w:p>
      <w:pPr>
        <w:spacing w:after="0" w:line="96" w:lineRule="exact"/>
        <w:rPr>
          <w:sz w:val="20"/>
          <w:szCs w:val="20"/>
          <w:color w:val="auto"/>
        </w:rPr>
      </w:pPr>
    </w:p>
    <w:p>
      <w:pPr>
        <w:jc w:val="both"/>
        <w:ind w:left="1280" w:right="399" w:firstLine="360"/>
        <w:spacing w:after="0" w:line="274" w:lineRule="auto"/>
        <w:rPr>
          <w:sz w:val="20"/>
          <w:szCs w:val="20"/>
          <w:color w:val="auto"/>
        </w:rPr>
      </w:pPr>
      <w:r>
        <w:rPr>
          <w:rFonts w:ascii="Times New Roman" w:cs="Times New Roman" w:eastAsia="Times New Roman" w:hAnsi="Times New Roman"/>
          <w:sz w:val="18"/>
          <w:szCs w:val="18"/>
          <w:color w:val="auto"/>
        </w:rPr>
        <w:t>NIO Spaces are mainly showrooms for our brand, vehicles and services. Compared with NIO Houses, NIO Spaces are generally smaller in scale, more delicate and sales-focused. As of December 31, 2023, we had 335 NIO Spaces in total globally.</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NIO App</w:t>
      </w:r>
    </w:p>
    <w:p>
      <w:pPr>
        <w:spacing w:after="0" w:line="162" w:lineRule="exact"/>
        <w:rPr>
          <w:sz w:val="20"/>
          <w:szCs w:val="20"/>
          <w:color w:val="auto"/>
        </w:rPr>
      </w:pPr>
    </w:p>
    <w:p>
      <w:pPr>
        <w:jc w:val="both"/>
        <w:ind w:left="1280" w:right="399" w:firstLine="360"/>
        <w:spacing w:after="0" w:line="275" w:lineRule="auto"/>
        <w:rPr>
          <w:sz w:val="20"/>
          <w:szCs w:val="20"/>
          <w:color w:val="auto"/>
        </w:rPr>
      </w:pPr>
      <w:r>
        <w:rPr>
          <w:rFonts w:ascii="Times New Roman" w:cs="Times New Roman" w:eastAsia="Times New Roman" w:hAnsi="Times New Roman"/>
          <w:sz w:val="18"/>
          <w:szCs w:val="18"/>
          <w:color w:val="auto"/>
        </w:rPr>
        <w:t>NIO app, our mobile application, is designed to serve as a comprehensive portal. It allows users to not only place orders for and configure all NIO vehicles, but also to access vehicle control, power and other services, as well as purchase NIO Life products. Most importantly, it functions as an online platform for our user community.</w:t>
      </w:r>
    </w:p>
    <w:p>
      <w:pPr>
        <w:spacing w:after="0" w:line="3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NIO Day and NIO Events</w:t>
      </w:r>
    </w:p>
    <w:p>
      <w:pPr>
        <w:spacing w:after="0" w:line="162" w:lineRule="exact"/>
        <w:rPr>
          <w:sz w:val="20"/>
          <w:szCs w:val="20"/>
          <w:color w:val="auto"/>
        </w:rPr>
      </w:pPr>
    </w:p>
    <w:p>
      <w:pPr>
        <w:jc w:val="both"/>
        <w:ind w:left="1280" w:right="399" w:firstLine="360"/>
        <w:spacing w:after="0" w:line="270" w:lineRule="auto"/>
        <w:rPr>
          <w:sz w:val="20"/>
          <w:szCs w:val="20"/>
          <w:color w:val="auto"/>
        </w:rPr>
      </w:pPr>
      <w:r>
        <w:rPr>
          <w:rFonts w:ascii="Times New Roman" w:cs="Times New Roman" w:eastAsia="Times New Roman" w:hAnsi="Times New Roman"/>
          <w:sz w:val="18"/>
          <w:szCs w:val="18"/>
          <w:color w:val="auto"/>
        </w:rPr>
        <w:t>Our annual NIO Day is an event jointly hosted by NIO and our users where we launch our new products and technologies and celebrate the user community. In December 2017 in Beijing, China, we held our first NIO Day and launched the ES8. We had since then held multiple NIO Days to launch new products and interact with our users and industry participants in the subsequent years. Most recently, in December 2023, we held the seventh NIO Day in Xi’an, China, with the official debut of ET9.</w:t>
      </w:r>
    </w:p>
    <w:p>
      <w:pPr>
        <w:spacing w:after="0" w:line="105" w:lineRule="exact"/>
        <w:rPr>
          <w:sz w:val="20"/>
          <w:szCs w:val="20"/>
          <w:color w:val="auto"/>
        </w:rPr>
      </w:pPr>
    </w:p>
    <w:p>
      <w:pPr>
        <w:jc w:val="both"/>
        <w:ind w:left="1280" w:right="399" w:firstLine="360"/>
        <w:spacing w:after="0" w:line="271" w:lineRule="auto"/>
        <w:rPr>
          <w:sz w:val="20"/>
          <w:szCs w:val="20"/>
          <w:color w:val="auto"/>
        </w:rPr>
      </w:pPr>
      <w:r>
        <w:rPr>
          <w:rFonts w:ascii="Times New Roman" w:cs="Times New Roman" w:eastAsia="Times New Roman" w:hAnsi="Times New Roman"/>
          <w:sz w:val="18"/>
          <w:szCs w:val="18"/>
          <w:color w:val="auto"/>
        </w:rPr>
        <w:t>In 2021, we held the Norway strategy conference, where we announced our entry into the Norwegian market. In 2022, we held NIO Berlin 2022, marking our expansion into Germany, the Netherlands, Denmark and Sweden. Currently, we offer ES8, EL7, EL6, ET7, ET5 and ET5T in European markets. We offer our products in Europe through direct sales, leasing programs, and subscription programs.</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NIO Life</w:t>
      </w:r>
    </w:p>
    <w:p>
      <w:pPr>
        <w:spacing w:after="0" w:line="148" w:lineRule="exact"/>
        <w:rPr>
          <w:sz w:val="20"/>
          <w:szCs w:val="20"/>
          <w:color w:val="auto"/>
        </w:rPr>
      </w:pPr>
    </w:p>
    <w:p>
      <w:pPr>
        <w:jc w:val="both"/>
        <w:ind w:left="1280" w:right="399" w:firstLine="360"/>
        <w:spacing w:after="0" w:line="270" w:lineRule="auto"/>
        <w:rPr>
          <w:sz w:val="20"/>
          <w:szCs w:val="20"/>
          <w:color w:val="auto"/>
        </w:rPr>
      </w:pPr>
      <w:r>
        <w:rPr>
          <w:rFonts w:ascii="Times New Roman" w:cs="Times New Roman" w:eastAsia="Times New Roman" w:hAnsi="Times New Roman"/>
          <w:sz w:val="18"/>
          <w:szCs w:val="18"/>
          <w:color w:val="auto"/>
        </w:rPr>
        <w:t>We have established our lifestyle brand NIO Life, which has an online store on NIO app where users can purchase NIO lifestyle products. The product categories include clothing and accessories, home and living, consumer electronics, food and beverages. Since we launched our online store in December 2016, over 13 million NIO Life items have been delivered to our users through online and offline channels as of December 31, 2023.</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NIO Points</w:t>
      </w:r>
    </w:p>
    <w:p>
      <w:pPr>
        <w:spacing w:after="0" w:line="162" w:lineRule="exact"/>
        <w:rPr>
          <w:sz w:val="20"/>
          <w:szCs w:val="20"/>
          <w:color w:val="auto"/>
        </w:rPr>
      </w:pPr>
    </w:p>
    <w:p>
      <w:pPr>
        <w:jc w:val="both"/>
        <w:ind w:left="1280" w:right="399" w:firstLine="360"/>
        <w:spacing w:after="0" w:line="270" w:lineRule="auto"/>
        <w:rPr>
          <w:sz w:val="20"/>
          <w:szCs w:val="20"/>
          <w:color w:val="auto"/>
        </w:rPr>
      </w:pPr>
      <w:r>
        <w:rPr>
          <w:rFonts w:ascii="Times New Roman" w:cs="Times New Roman" w:eastAsia="Times New Roman" w:hAnsi="Times New Roman"/>
          <w:sz w:val="18"/>
          <w:szCs w:val="18"/>
          <w:color w:val="auto"/>
        </w:rPr>
        <w:t>We provide users with NIO Points to encourage user engagement and positive user behavior, such as to keep a safe driving record. NIO Points are earned, among other things, through the welcome packages upon the purchase of NIO vehicles, referrals for test drives and vehicle purchases, and active engagement in the user community. NIO Points can be used, both at our online store and at our NIO Houses and some of the NIO Spaces.</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NIO Users Trust</w:t>
      </w:r>
    </w:p>
    <w:p>
      <w:pPr>
        <w:spacing w:after="0" w:line="162" w:lineRule="exact"/>
        <w:rPr>
          <w:sz w:val="20"/>
          <w:szCs w:val="20"/>
          <w:color w:val="auto"/>
        </w:rPr>
      </w:pPr>
    </w:p>
    <w:p>
      <w:pPr>
        <w:jc w:val="both"/>
        <w:ind w:left="1280" w:right="399" w:firstLine="360"/>
        <w:spacing w:after="0" w:line="264" w:lineRule="auto"/>
        <w:rPr>
          <w:sz w:val="20"/>
          <w:szCs w:val="20"/>
          <w:color w:val="auto"/>
        </w:rPr>
      </w:pPr>
      <w:r>
        <w:rPr>
          <w:rFonts w:ascii="Times New Roman" w:cs="Times New Roman" w:eastAsia="Times New Roman" w:hAnsi="Times New Roman"/>
          <w:sz w:val="18"/>
          <w:szCs w:val="18"/>
          <w:color w:val="auto"/>
        </w:rPr>
        <w:t>In conjunction with our pursuit of being a user enterprise and with the goal of building a deeper connection between NIO and our users, Mr. Bin Li, our chairman of the board of directors and chief executive officer, transferred a certain amount of his ordinary shares to NIO User Trust in January 2019. Our users have the opportunity to discuss and propose the use of the economic benefits from the shares in NIO User Trust through a User Council consisting of members of our user community elected by our users. The User Council helps coordinate user activities in our community. According to the articles of association of NIO Users Trust, incomes and proceeds derived from the trust assets shall be mainly used for the following purposes: (i) environmental protection and sustainable development, (ii) NIO Users community care projects, (iii) community activities promoting common growth of users and other necessary projects, and (iv) operational expenses of the Users Trust.</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59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516245" cy="825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Power Solutions</w:t>
      </w:r>
    </w:p>
    <w:p>
      <w:pPr>
        <w:spacing w:after="0" w:line="162"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We offer a comprehensive and innovative suite of power solutions to address the charging and swapping needs of our users. Our power solutions include home charger called Power Home, battery swapping called Power Swap, supercharging piles called Power Charger, destination charging piles called Destination Charger, and mobile charging called Power Mobile, all of which are connected to cloud-enabled Power Cloud, which synchronizes users’ power consumption information and our power network, and intelligently suggests the appropriate services, according to the users’ locations and power consumption patterns. Our users not only get to check the availability of charging and swapping resources of NIO’s own network, but also have access to a network of public chargers and their real-time information through the Power Map on our NIO app. In addition, we offer our users our One Click for Power valet service where we pick up, charge and then return the vehicle. Our goal is to provide the most convenient power solutions to our users.</w:t>
      </w: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 Home</w:t>
      </w:r>
    </w:p>
    <w:p>
      <w:pPr>
        <w:spacing w:after="0" w:line="148"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Through Power Home, we install home chargers at our users’ homes upon our users’ requests if the installation is feasible. Currently we are offering our users standard home chargers and high-speed home chargers.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 Swap</w:t>
      </w:r>
    </w:p>
    <w:p>
      <w:pPr>
        <w:spacing w:after="0" w:line="162"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All of our vehicles support battery swapping. Once a vehicle is parked in the swap station and the swap function is activated, battery swapping will take place within minutes. Automatic battery and electric system checks are performed during each swap to enhance the safety and security of the vehicle and battery.</w:t>
      </w:r>
    </w:p>
    <w:p>
      <w:pPr>
        <w:spacing w:after="0" w:line="102"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In December 2023, we introduced Power Swap Station 4.0, which boasts enhanced efficiency improvements and can reach a service capacity of up to 480 swaps per day. Equipped with Lidars and NVIDIA DRIVE Orin X chips, it possesses the capability to conduct fully automatic swap and handle complex environments for more intelligent vehicle-station connectivity. Power Swap Station 4.0 is compatible with multiple vehicle brands. We have opened our Power Swap network to the entire industry and signed strategic partnership agreements with a few auto companies, including Changan Automobile, Geely Group and JAC Group, Chery Automobile, on battery swapping. As of December 31, 2023, we had 2,350 Power Swap Stations covering urban areas and expressways globally, through which we had completed over 35 million battery swaps cumulatively.</w:t>
      </w:r>
    </w:p>
    <w:p>
      <w:pPr>
        <w:spacing w:after="0" w:line="328"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We plan to strategically deploy more Power Swap Stations in selected geographical areas to ensure optimal battery swap experience for our growing user base and boost sales. We have partnered with multiple energy companies, including, among others, Anhui Province Energy Group Co., Ltd. and China Southern Power Grid Peak Load and Frequency Modulation (Guangdong) Energy Storage Technology Co., Ltd., and expect to join hands with more partners to collectively contribute towards the development of power network and the wider adoption of battery swapping.</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 Charger and Destination Charger</w:t>
      </w:r>
    </w:p>
    <w:p>
      <w:pPr>
        <w:spacing w:after="0" w:line="16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Through Power Charger, our supercharging piles, we provide our users a fast and reliable power solution. Users are able to locate, use and pay for the charging through our NIO app. Our Power Chargers are of a slim design and are located in parking lots and other locations easily accessible to our users. We currently offer up to 640kW Power Charger.</w:t>
      </w:r>
    </w:p>
    <w:p>
      <w:pPr>
        <w:spacing w:after="0" w:line="110" w:lineRule="exact"/>
        <w:rPr>
          <w:sz w:val="20"/>
          <w:szCs w:val="20"/>
          <w:color w:val="auto"/>
        </w:rPr>
      </w:pPr>
    </w:p>
    <w:p>
      <w:pPr>
        <w:jc w:val="both"/>
        <w:ind w:left="1280" w:right="419" w:firstLine="360"/>
        <w:spacing w:after="0" w:line="266" w:lineRule="auto"/>
        <w:rPr>
          <w:sz w:val="20"/>
          <w:szCs w:val="20"/>
          <w:color w:val="auto"/>
        </w:rPr>
      </w:pPr>
      <w:r>
        <w:rPr>
          <w:rFonts w:ascii="Times New Roman" w:cs="Times New Roman" w:eastAsia="Times New Roman" w:hAnsi="Times New Roman"/>
          <w:sz w:val="18"/>
          <w:szCs w:val="18"/>
          <w:color w:val="auto"/>
        </w:rPr>
        <w:t>We also deploy chargers in tourist attractions, shopping malls, office buildings, and other types of destinations to expand the charging network for convenience and flexibility.</w:t>
      </w:r>
    </w:p>
    <w:p>
      <w:pPr>
        <w:spacing w:after="0" w:line="95" w:lineRule="exact"/>
        <w:rPr>
          <w:sz w:val="20"/>
          <w:szCs w:val="20"/>
          <w:color w:val="auto"/>
        </w:rPr>
      </w:pPr>
    </w:p>
    <w:p>
      <w:pPr>
        <w:jc w:val="both"/>
        <w:ind w:left="1280" w:right="399" w:firstLine="360"/>
        <w:spacing w:after="0" w:line="264" w:lineRule="auto"/>
        <w:rPr>
          <w:sz w:val="20"/>
          <w:szCs w:val="20"/>
          <w:color w:val="auto"/>
        </w:rPr>
      </w:pPr>
      <w:r>
        <w:rPr>
          <w:rFonts w:ascii="Times New Roman" w:cs="Times New Roman" w:eastAsia="Times New Roman" w:hAnsi="Times New Roman"/>
          <w:sz w:val="18"/>
          <w:szCs w:val="18"/>
          <w:color w:val="auto"/>
        </w:rPr>
        <w:t>As of December 31, 2023, we had 21,091 Power Chargers and Destination Chargers in operation. We plan to further enhance the efficiency and expand the deployment of our chargers to cater to the growing user demand.</w:t>
      </w:r>
    </w:p>
    <w:p>
      <w:pPr>
        <w:spacing w:after="0" w:line="3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 Mobile</w:t>
      </w:r>
    </w:p>
    <w:p>
      <w:pPr>
        <w:spacing w:after="0" w:line="16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Through Power Mobile, we provide charging services through fast charging vans with our proprietary fast-charging technologies, supplementing our swapping and charging network. Users are able to book Power Mobile services in advance through our NIO app.</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413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516245" cy="841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We have a fleet of Power Mobile vans in operation in China. We regularly adjust the deployment of Power Mobile vans in China based on our user distribution and user needs and plan to improve the efficiency of these NIO Power Mobile vans to create better experiences for users.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Power Map</w:t>
      </w:r>
    </w:p>
    <w:p>
      <w:pPr>
        <w:spacing w:after="0" w:line="162"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In addition to our own swapping and charging network, our users have access to a network of public chargers and their real-time information through the Power Map on our NIO app, which consisted of over 1,460,000 publicly accessible charging piles globally as of December 31, 2023. In order to further improve user experience, we have been working to increase the number of chargers with data synchronized to our Power Cloud.</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One Click for Power</w:t>
      </w:r>
    </w:p>
    <w:p>
      <w:pPr>
        <w:spacing w:after="0" w:line="148"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offer our users our One Click for Power valet service. Through our NIO app, a user can have our team pick up his or her vehicle at the user’s designated parking location for valet charging, battery swapping or power mobile. We aim to provide users with the most convenient charging experience by identifying the most appropriate power solution based on the user’s travel habits through cloud-based smart scheduling.</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Service and Warranty</w:t>
      </w:r>
    </w:p>
    <w:p>
      <w:pPr>
        <w:spacing w:after="0" w:line="148"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Our users can access a full suite of innovative services on our NIO app, as part of our strategy of redefining the user experience. NIO Service, our one-stop service ecosystem marked by the innovative worry-free service plan, provides NIO users with a holistic end-to-end service experience. We believe our service capability is among the core competitiveness we possess.</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Service</w:t>
      </w:r>
    </w:p>
    <w:p>
      <w:pPr>
        <w:spacing w:after="0" w:line="2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Service Network</w:t>
      </w:r>
    </w:p>
    <w:p>
      <w:pPr>
        <w:spacing w:after="0" w:line="160"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currently provide servicing both through NIO service centers and authorized third-party service centers, both of which provide repair, maintenance and bodywork services.</w:t>
      </w:r>
    </w:p>
    <w:p>
      <w:pPr>
        <w:spacing w:after="0" w:line="95"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For our NIO service centers, we have dedicated qualified technicians who receive regular professional trainings and skill tests, which ensures high-quality user services. As of December 31, 2023, we had 82 NIO service centers worldwide. For authorized third-party service centers, we have a devoted management team to carefully select and bring authorized service centers into our network, most with experience servicing high-end branded vehicles. As of December 31, 2023, we had 228 authorized service centers worldwide.</w:t>
      </w:r>
    </w:p>
    <w:p>
      <w:pPr>
        <w:spacing w:after="0" w:line="110"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We also provide high-quality delivery service through NIO delivery centers, which serve as vital hubs in the user experience journey. At our NIO delivery centers, we offer users a full-service support package, including vehicle transportation and delivery, pre-delivery inspection (PDI) services, assistance with vehicle inspection, guidance and orientation on vehicle features, assistance with vehicle registration and insurance processing.</w:t>
      </w:r>
    </w:p>
    <w:p>
      <w:pPr>
        <w:spacing w:after="0" w:line="38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Service Plan</w:t>
      </w:r>
    </w:p>
    <w:p>
      <w:pPr>
        <w:spacing w:after="0" w:line="160"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We offer our users worry-free service plans on an annual fee basis in certain regions. The worry-free service plans provide a combination of insurance and a series of service options. The insurance offered in the plan covers statutory third-party liability and vehicle damage insurance, which are provided through third-party insurers. Our service offerings include vehicle repair and maintenance services, courtesy vehicles, roadside assistances, optional value-added services, and enhanced data packages, among other services.</w:t>
      </w:r>
    </w:p>
    <w:p>
      <w:pPr>
        <w:spacing w:after="0" w:line="312" w:lineRule="exact"/>
        <w:rPr>
          <w:sz w:val="20"/>
          <w:szCs w:val="20"/>
          <w:color w:val="auto"/>
        </w:rPr>
      </w:pPr>
    </w:p>
    <w:p>
      <w:pPr>
        <w:jc w:val="both"/>
        <w:ind w:left="1280" w:right="399" w:firstLine="360"/>
        <w:spacing w:after="0" w:line="264" w:lineRule="auto"/>
        <w:rPr>
          <w:sz w:val="20"/>
          <w:szCs w:val="20"/>
          <w:color w:val="auto"/>
        </w:rPr>
      </w:pPr>
      <w:r>
        <w:rPr>
          <w:rFonts w:ascii="Times New Roman" w:cs="Times New Roman" w:eastAsia="Times New Roman" w:hAnsi="Times New Roman"/>
          <w:sz w:val="18"/>
          <w:szCs w:val="18"/>
          <w:color w:val="auto"/>
        </w:rPr>
        <w:t>Users are able to arrange for vehicle services using our NIO app. We also provide worry-free services such as repair, maintenance and charging at users’ doorstep through Service Mobile, our service centers on wheels.</w:t>
      </w:r>
    </w:p>
    <w:p>
      <w:pPr>
        <w:spacing w:after="0" w:line="38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Auto Financing</w:t>
      </w:r>
    </w:p>
    <w:p>
      <w:pPr>
        <w:spacing w:after="0" w:line="160"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We currently have agreements with several commercial banks in China, pursuant to which we assist users across China in acquiring financing when they purchase our vehicles. We also offer auto financing arrangements to users directly through our subsidiaries.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64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516245" cy="816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NIO Certified (Used Vehicle Service)</w:t>
      </w:r>
    </w:p>
    <w:p>
      <w:pPr>
        <w:spacing w:after="0" w:line="162"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In January 2021, we launched NIO Certified, our used vehicle service, to provide high- quality services for used NIO vehicle transactions. We have developed the capabilities in the major cities in China to cover services including used vehicle inspection, evaluation, acquisition and sales. We also partner with various used car dealers through our NIO app to assist users in completing their used car transactions more efficiently and conveniently.</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Warranty Policy</w:t>
      </w:r>
    </w:p>
    <w:p>
      <w:pPr>
        <w:spacing w:after="0" w:line="148"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For an initial retail purchaser of a new NIO vehicle in China, in addition to the warranty required under the PRC laws, including (i) a bumper- to-bumper three-year or 120,000-km warranty, (ii) for critical EV components (batteries, electric motors, power electric units and vehicle control units), an eight-year or 120,000-km warranty, and (iii) a two-year or 50,000-km warranty covering vehicle repair, replacement and refund, we also provide an extended warranty in China subject to certain conditions. For the owners of our vehicles in Europe, in addition to the warranty required under the applicable laws and regulations, we also provide an extended warranty subject to certain conditions. See “Item 3. Key Information — D. Risk Factors — Risks Related to Our Business and Industry — Our warranty reserves may be insufficient to cover future warranty claims which could adversely affect our financial performance” in the 2023 Annual Report.</w:t>
      </w: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Supply Chain, Manufacturing and Quality Assurance</w:t>
      </w:r>
    </w:p>
    <w:p>
      <w:pPr>
        <w:spacing w:after="0" w:line="148"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We view the suppliers and manufacturers we work with as key partners in our vehicle development process. We aim to leverage our partners’ industry expertise to ensure that each vehicle we produce meets our strict quality standards.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62"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We work with global and local supply chain partners while the majority of our supply base is located in China, which enables us to acquire supplies more quickly and reduces the overall logistics-related cost.</w:t>
      </w:r>
    </w:p>
    <w:p>
      <w:pPr>
        <w:spacing w:after="0" w:line="95" w:lineRule="exact"/>
        <w:rPr>
          <w:sz w:val="20"/>
          <w:szCs w:val="20"/>
          <w:color w:val="auto"/>
        </w:rPr>
      </w:pPr>
    </w:p>
    <w:p>
      <w:pPr>
        <w:jc w:val="both"/>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obtain systems, components, raw materials, parts, manufacturing equipment and other supplies and services from suppliers which we believe to be reputable and reliable. We follow our internal process to source suppliers taking into account quality, cost and timing. We continually innovate our supply chain in order to establish a more effective and diverse supply chain system. We actively cultivate partnerships with suppliers that have innovative technological capabilities and cost advantages, thereby increasing the competitiveness and innovativeness of our supply chain. While we obtain components from multiple sources whenever possible, many of the components used in our vehicles are purchased from a single source. Eventually we plan to implement a multi-source volume purchasing strategy in order to reduce our reliance on sole source suppliers.</w:t>
      </w:r>
    </w:p>
    <w:p>
      <w:pPr>
        <w:spacing w:after="0" w:line="328"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We usually enter into our standard form of agreements with our suppliers. Suppliers shall provide to us the goods and services at terms and conditions as provided under the agreements according to the pre-determined schedule. We typically pay suppliers with respect to the goods provided after receipt of goods and within 30-90 days upon receipt of invoices issued by suppliers. The suppliers provide quality warranty for the goods sold to us. Neither we nor the suppliers are allowed to subcontract or assign any obligations under the agreements. We typically have the right to terminate the agreement with suppliers due to our strategy or business concern by giving a six-month prior written notice to supplier. In addition, either party has the right to terminate the agreement upon a material default by the other party. We hold our suppliers to high ethical standards of code of conducts in areas such as human rights, labor conventions such as prohibition of forced labor and child labor, environmental protection and anti-corruption, and incorporate these standards in our cooperation agreements with our suppliers.</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2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Vehicle Manufacturing</w:t>
      </w:r>
    </w:p>
    <w:p>
      <w:pPr>
        <w:spacing w:after="0" w:line="160"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In the past, we partnered with JAC for the joint manufacturing of our vehicles in the F1 Plant and the F2 Plant in Hefei, China. We entered into definitive agreements with JAC in December 2023, pursuant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67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516245" cy="826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45" w:lineRule="auto"/>
        <w:rPr>
          <w:sz w:val="20"/>
          <w:szCs w:val="20"/>
          <w:color w:val="auto"/>
        </w:rPr>
      </w:pPr>
      <w:r>
        <w:rPr>
          <w:rFonts w:ascii="Times New Roman" w:cs="Times New Roman" w:eastAsia="Times New Roman" w:hAnsi="Times New Roman"/>
          <w:sz w:val="18"/>
          <w:szCs w:val="18"/>
          <w:color w:val="auto"/>
        </w:rPr>
        <w:t>which we agreed to acquire the manufacturing equipment and assets of the F1 Plant and the F2 Plant from JAC for a total consideration of approximately RMB3.16 billion, excluding tax. The asset transfer was completed in December 2023. In addition, we have completed the filing process for our electric passenger vehicle investment project with the authorities in Anhui province and have been included in the Ministry of Industry and Information Technology’s catalogue of approved manufacturers. Our manufacturing model has transitioned from joint manufacturing to independent manufacturing. We have commenced independent manufacturing of all our current vehicles models in the F1 Plant and the F2 Plant.</w:t>
      </w:r>
    </w:p>
    <w:p>
      <w:pPr>
        <w:spacing w:after="0" w:line="19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Other Manufacturing</w:t>
      </w:r>
    </w:p>
    <w:p>
      <w:pPr>
        <w:spacing w:after="0" w:line="146"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We have established our manufacturing center in China for the production of electric powertrains, with highly automated production lines, advanced manufacturing execution systems and automated guided vehicles. We also manufacture Power Swap Stations and charging piles independently, as well as in collaboration with our partners.</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48"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We aim to deliver high-quality products and services to our users in line with our core values and commitments. We believe that our quality assurance systems are the key to ensuring the delivery of high-quality products and services, and to minimize waste and to maximize efficiency. We have established a Quality Committee for the overall quality management of our company. The Quality Committee is chaired by our executive vice president, and is responsible for formulating the group-level quality assurance policies, strategies, goals and initiatives and reviewing the progress of quality goals. We strongly emphasize quality management across all business functions, including product development, manufacturing, partner quality management, procurement, power solutions, user experience, service and logistics. Our quality management groups are responsible for our overall quality strategy, quality systems and processes, quality culture, and general quality management implementation.</w:t>
      </w:r>
    </w:p>
    <w:p>
      <w:pPr>
        <w:spacing w:after="0" w:line="118"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In the research and development stage, we have established a failure mode analysis sub-committee and a reliability working group to continually improve the awareness, knowledge and ability of problem prevention in product design, process design, service design and other aspects. We have built a NIO product development platform to manage the entire product development process, efficiently integrating the workflows of various business departments, and achieving high-quality management of vehicles to be delivered.</w:t>
      </w:r>
    </w:p>
    <w:p>
      <w:pPr>
        <w:spacing w:after="0" w:line="325" w:lineRule="exact"/>
        <w:rPr>
          <w:sz w:val="20"/>
          <w:szCs w:val="20"/>
          <w:color w:val="auto"/>
        </w:rPr>
      </w:pPr>
    </w:p>
    <w:p>
      <w:pPr>
        <w:jc w:val="both"/>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In the manufacturing stage, we implement end -to-end quality planning based on product and process characteristics, covering quality issue prevention, incoming material inspection, in-process inspection, customer review, pre-shipment inspection and rapid problem resolution. In the meantime, we actively promote the digitalization of manufacturing quality management in various use cases, including, among others, problem management, change point management, vehicle management, and personnel management. Through intelligent data monitoring and analysis, we are able to timely detect abnormalities and make corrections.</w:t>
      </w:r>
    </w:p>
    <w:p>
      <w:pPr>
        <w:spacing w:after="0" w:line="325"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In terms of supply chain, we have established the NIO quality premium partner evaluation system, which comprehensively evaluates our partners from various dimensions to achieve effective quality control of the supply chain. On top of the regular audit and training of our supply chain partners, we organize expert resources of different fields and functions to work together with the supply chain partners in need of capability enhancement to quickly improve their process assurance and quality control capabilities.</w:t>
      </w:r>
    </w:p>
    <w:p>
      <w:pPr>
        <w:spacing w:after="0" w:line="116"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In addition, we collect users’ feedback through various channels, such as hotline, NIO app, NIO Fellow, user service group, and NOMI in our vehicles, and direct these feedbacks to our product experience, service and quality assurance team so as to drive the fast iteration and improvement in terms of product development, manufacturing and supply chain.</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VIEs</w:t>
      </w:r>
    </w:p>
    <w:p>
      <w:pPr>
        <w:spacing w:after="0" w:line="148"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NIO Inc. is not an operating company in China but a Cayman Islands holding company with no equity ownership in its consolidated variable interest entities, or VIEs. We conduct our operations in China</w:t>
      </w:r>
    </w:p>
    <w:p>
      <w:pPr>
        <w:jc w:val="both"/>
        <w:ind w:left="1280" w:right="399" w:hanging="2"/>
        <w:spacing w:after="0" w:line="260" w:lineRule="auto"/>
        <w:tabs>
          <w:tab w:leader="none" w:pos="15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through our PRC subsidiaries, and (ii) to a much lesser extent, through the VIEs, namely Beijing NIO, Anhui NIO AT, and Anhui NIO DT, with each of which we maintain contractual arrangements,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66" w:lineRule="auto"/>
        <w:rPr>
          <w:sz w:val="20"/>
          <w:szCs w:val="20"/>
          <w:color w:val="auto"/>
        </w:rPr>
      </w:pPr>
      <w:r>
        <w:rPr>
          <w:rFonts w:ascii="Times New Roman" w:cs="Times New Roman" w:eastAsia="Times New Roman" w:hAnsi="Times New Roman"/>
          <w:sz w:val="18"/>
          <w:szCs w:val="18"/>
          <w:color w:val="auto"/>
        </w:rPr>
        <w:t>their subsidiary. We have also established subsidiaries in the United States, Germany, the United Kingdom, Norway and other overseas jurisdictions to promote our services and businesses, entering into business contracts with offshore counterparties and holding overseas intellectual properties.</w:t>
      </w:r>
    </w:p>
    <w:p>
      <w:pPr>
        <w:spacing w:after="0" w:line="108" w:lineRule="exact"/>
        <w:rPr>
          <w:sz w:val="20"/>
          <w:szCs w:val="20"/>
          <w:color w:val="auto"/>
        </w:rPr>
      </w:pPr>
    </w:p>
    <w:p>
      <w:pPr>
        <w:jc w:val="both"/>
        <w:ind w:left="1280" w:right="399" w:firstLine="360"/>
        <w:spacing w:after="0" w:line="251" w:lineRule="auto"/>
        <w:rPr>
          <w:sz w:val="20"/>
          <w:szCs w:val="20"/>
          <w:color w:val="auto"/>
        </w:rPr>
      </w:pPr>
      <w:r>
        <w:rPr>
          <w:rFonts w:ascii="Times New Roman" w:cs="Times New Roman" w:eastAsia="Times New Roman" w:hAnsi="Times New Roman"/>
          <w:sz w:val="18"/>
          <w:szCs w:val="18"/>
          <w:color w:val="auto"/>
        </w:rPr>
        <w:t>PRC laws and regulations (i) restrict and impose conditions on foreign investment in value-added telecommunication services, including without limitation, performing internet information services as well as holding certain related licenses; and (ii) prohibit foreign investment in certain services related to autonomous driving as well as the holding of licenses by foreign entities. Additionally, in practice, subject to the qualifications set by China Banking and Insurance Regulatory Commission for foreign shareholders of the insurance brokerage companies, the China Banking and Insurance Regulatory Commission typically would not approve the establishment of foreign-invested insurance brokerage companies which perform insurance brokerage services and hold certain related licenses. Accordingly, we operate these businesses in China through Beijing NIO, Anhui NIO AT, and Anhui NIO DT, or as referred to as the VIEs, and their subsidiary. We rely on contractual arrangements among our PRC subsidiaries, the VIEs and their nominee shareholders to maintain a controlling financial interest as the primary beneficiary of each VIE (as defined in U.S. GAAP, ASC 810). Under U.S. GAAP, we consolidate each VIE within our consolidated financial statements. Specifically, we operate value-added telecommunication services, including without limitation, performing internet information services, and hold certain related licenses, through Beijing NIO. We rely on the contractual arrangements with Anhui NIO DT and its shareholders to operate insurance brokerage services. NIO Insurance Broker Co., Ltd., the subsidiary of Anhui NIO DT, currently holds an insurance brokerage license and provides insurance brokerage services primarily related to vehicles and properties. We intend to obtain requisite licenses for certain supporting functions during the development of our assisted and intelligent driving technology through Anhui NIO AT. As of the date of this prospectus supplement, the business operations of the VIEs are insignificant in relation to our total revenues and net loss. As used in this prospectus supplement, “NIO,” “we,” “us,” “our company,” and “our” refer to NIO Inc., our Cayman Islands holding company and its subsidiaries, and in the context of describing our operations and consolidated financial information, include the VIEs and their respective subsidiaries, where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and the</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VIEs, as of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In April 2018, we entered into a series of contractual arrangements through one of our PRC subsidiaries with Beijing NIO and its shareholders, which were replaced by a new set of contractual arrangements we entered into with the same parties in April 2021. Further, in November 2022 and December 2022, we entered into a series of contractual arrangements through our respective PRC subsidiaries with each of Anhui NIO AT and Anhui NIO DT, respectively, and their respective shareholders, to conduct certain future operations in China. These contractual arrangements enable us to:</w:t>
      </w:r>
    </w:p>
    <w:p>
      <w:pPr>
        <w:spacing w:after="0" w:line="79" w:lineRule="exact"/>
        <w:rPr>
          <w:sz w:val="20"/>
          <w:szCs w:val="20"/>
          <w:color w:val="auto"/>
        </w:rPr>
      </w:pPr>
    </w:p>
    <w:p>
      <w:pPr>
        <w:ind w:left="1820" w:right="39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economic benefits that could potentially be significant to the VIEs in consideration for the services provided by our subsidiaries;</w:t>
      </w:r>
    </w:p>
    <w:p>
      <w:pPr>
        <w:spacing w:after="0" w:line="8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the VIEs; and</w:t>
      </w:r>
    </w:p>
    <w:p>
      <w:pPr>
        <w:spacing w:after="0" w:line="130"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 exclusive option to purchase all or part of the equity interests in the VIEs when and to the extent permitted by PRC law.</w:t>
      </w:r>
    </w:p>
    <w:p>
      <w:pPr>
        <w:spacing w:after="0" w:line="94"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These contractual agreements include an exclusive business cooperation agreement, exclusive option agreement, equity pledge agreement, loan agreement and power of attorney. For more details of these contractual arrangements, see “Item 4. Information on the Company — C. Organizational Structure — Contractual Agreements with the VIEs and Their Shareholders” in the 2023 Annual Report.</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Beijing NIO, Anhui NIO AT, and Anhui NIO DT and its subsidiary, taking into account all of their respective business with or without foreign investment restrictions and prohibitions under PRC laws, contributed insignificantly to our total revenues, accounting for nil, nil and RMB13.8 million (US$2.0 million) for the years ended December 31, 2021, 2022 and 2023, respectively. The VIEs provided services internally to our subsidiaries, and such services amounted to RMB0.6 million, RMB89.2 million and RMB110.5 million (US$15.6 million) for the years ended December 31, 2021, 2022 and 2023, respectively. As of December 31, 2021, 2022 and 2023, none of Beijing NIO, Anhui NIO AT and Anhui NIO DT had significant operations or any material assets or liabilities.</w:t>
      </w:r>
    </w:p>
    <w:p>
      <w:pPr>
        <w:spacing w:after="0" w:line="109"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Holdings of our ADSs and Class A ordinary shares are not holding equity interests in the VIEs in China but instead are holding equity interests in a holding company incorporated in the Cayman Islands. We do not have any equity interests in the VIEs. However, as a result of contractual arrangements, we have a controlling financial interest over and are considered the primary beneficiary of each of the VIEs, and we have consolidated the financial results, pursuant to U.S. GAAP, each of these entities in our consolidated financial statements. However, the contractual arrangements may not be as effective as direct ownership in providing us with control over the VIEs and we may incur substantial costs to enforce the terms of the arrangements. If the VIEs or the nominee shareholders fail to perform their respective obligations under the contractual arrangements, we could be limited in our ability to enforce the contractual arrangements that give us effective control over the VIEs. Furthermore, if we are unable to maintain effective control, we would not be able to continue to consolidate the financial results of the VIEs in our financial statements. See “Item 3. Key Information — D. Risk Factors — Risks Related to Our Corporate Structure — We rely on contractual arrangements with the VIEs and their shareholders to hold a controlling financial interest over each VIE, which may not be as effective as direct ownership in providing operational control” and “Item 3. Key Information — D. Risk Factors — Risks Related to Our Corporate Structure — The shareholders of the VIEs have conflicts of interest with us, which may materially and adversely affect our business and financial condition” in the 2023 Annual Report.</w:t>
      </w:r>
    </w:p>
    <w:p>
      <w:pPr>
        <w:spacing w:after="0" w:line="343"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their nominee shareholders. It is uncertain whether any new PRC laws or regulations relating to contractual arrangements will be adopted or if adopted, what they would provide. If we or any of the VIEs is found to be in violation of any existing or future PRC laws or regulations, or fail to obtain or maintain any of the required permits or approvals, the PRC regulatory authorities would have broad discretion to take action in dealing with such violations or failures. Our Cayman Islands holding company, our PRC subsidiaries and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See “Item 3. Key Information — D. Risk Factors — Risks Related to Our Corporate Structure — If the PRC government deems that our VIE arrangements do not comply with PRC laws, or if these PRC laws change, we could be subject to severe penalties or be forced to relinquish our interests in those operations” in the 2023 Annual Report.</w:t>
      </w:r>
    </w:p>
    <w:p>
      <w:pPr>
        <w:spacing w:after="0" w:line="347"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 — D. Risk Factors — Risks Related to Doing Business in China — The PRC government’s significant oversight over our business operation could result in a material adverse change in our operations and the value of our ADSs” in the 2023 Annual Report.</w:t>
      </w:r>
    </w:p>
    <w:p>
      <w:pPr>
        <w:spacing w:after="0" w:line="108"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Risks and uncertainties regarding the interpretation and enforcement of laws and quickly evolving rules and regulations in China, could result in a material adverse change in our operations and the value of our ADSs. For more details, see “Item 3. Key Information — D. Risk Factors — Risks Related to Doing Business in China — Uncertainties in the interpretation and enforcement of PRC laws and regulations could limit the legal protections available to you and us” in the 2023 Annual Report.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334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516245" cy="823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62"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Our operations in China are governed by PRC laws and regulations. As of the date of this prospectus supplement, our PRC subsidiaries and the VIEs have obtained the requisite licenses and permits from the PRC government authorities that are material for the main business operations of our holding company, our PRC subsidiaries and the VIEs in China, including, among others, a license for conducting internet content provision services, or the ICP license, and the insurance brokerage license. In addition, we have completed the filing process for our electric passenger vehicle investment project with the authorities in Anhui province and have been included in the Ministry of Industry and Information Technology’s catalogue of approved manufacturers. Given the uncertainties of interpretation and implementation of laws and regulations and the enforcement practice by government authorities, we may be required to obtain additional licenses, permits, filings or approvals for our business operations in the future. For more detailed information, see “Item 3. Key Information — D. Risk Factors — Risks Related to Doing Business in China — We may be adversely affected by the complexity, uncertainties and changes in PRC regulations on internet-related business, automotive businesses and other business carried out by our PRC subsidiaries and the VIEs” in the 2023 Annual Report.</w:t>
      </w:r>
    </w:p>
    <w:p>
      <w:pPr>
        <w:spacing w:after="0" w:line="347" w:lineRule="exact"/>
        <w:rPr>
          <w:sz w:val="20"/>
          <w:szCs w:val="20"/>
          <w:color w:val="auto"/>
        </w:rPr>
      </w:pPr>
    </w:p>
    <w:p>
      <w:pPr>
        <w:jc w:val="both"/>
        <w:ind w:left="1280" w:right="399" w:firstLine="360"/>
        <w:spacing w:after="0" w:line="251" w:lineRule="auto"/>
        <w:rPr>
          <w:sz w:val="20"/>
          <w:szCs w:val="20"/>
          <w:color w:val="auto"/>
        </w:rPr>
      </w:pPr>
      <w:r>
        <w:rPr>
          <w:rFonts w:ascii="Times New Roman" w:cs="Times New Roman" w:eastAsia="Times New Roman" w:hAnsi="Times New Roman"/>
          <w:sz w:val="18"/>
          <w:szCs w:val="18"/>
          <w:color w:val="auto"/>
        </w:rPr>
        <w:t>Meanwhile, the PRC government has sought to exert more oversight and control over capital raising activities of listed companies that are conducted overseas and/or foreign investment in China-based issuers. In December 2021, the Cyberspace Administration of China, or the CAC, together with other authorities, jointly promulgated the Cybersecurity Review Measures, which took effect on February 15, 2022 and replaces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On February 17, 2023, China Securities Regulatory Commission, or the CSRC, released several regulations regarding the filing requirements for overseas offerings and listings by domestic companies, including the Trial Administrative Measures of Overseas Securities Offering and Listing by Domestic Companies and five supporting guidelines, which were formally implemented on March 31, 2023. According to these rules, domestic enterprises like us that have completed overseas listings are not required to file with CSRC immediately, but shall carry out filing procedures as required if we conduct refinancing or fall within other circumstances that require filing with the CSRC. Any failure to obtain or delay in obtaining such approval or completing such procedures could subject us to restrictions and penalties imposed by the CSRC, the CAC or other PRC regulatory authorities, which could include fines and penalties on our operations in China, delays of or restrictions on the repatriation of the proceeds from our offshore offerings into China, or other actions that could materially and adversely affect our business, financial condition, results of operations, and prospects, as well as the trading price of our ADSs. For more detailed information, see “Item 3. Key Information — D. Risk Factors — Risks Related to Doing Business in China — The approval of or the filing with the CSRC or other PRC government authorities may be required in connection with our future offshore listings and capital raising activities, and, if required, we cannot predict whether or for how long we will be able to obtain such approval or filing” in the 2023 Annual Report.</w:t>
      </w:r>
    </w:p>
    <w:p>
      <w:pPr>
        <w:spacing w:after="0" w:line="200" w:lineRule="exact"/>
        <w:rPr>
          <w:sz w:val="20"/>
          <w:szCs w:val="20"/>
          <w:color w:val="auto"/>
        </w:rPr>
      </w:pPr>
    </w:p>
    <w:p>
      <w:pPr>
        <w:spacing w:after="0" w:line="2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48"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(United States), or the PCAOB, for two consecutive years, the SEC will prohibit our shares or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NIO Inc. as a Commission-Identified Issuer under the HFCAA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52" w:lineRule="auto"/>
        <w:rPr>
          <w:sz w:val="20"/>
          <w:szCs w:val="20"/>
          <w:color w:val="auto"/>
        </w:rPr>
      </w:pPr>
      <w:r>
        <w:rPr>
          <w:rFonts w:ascii="Times New Roman" w:cs="Times New Roman" w:eastAsia="Times New Roman" w:hAnsi="Times New Roman"/>
          <w:sz w:val="18"/>
          <w:szCs w:val="18"/>
          <w:color w:val="auto"/>
        </w:rPr>
        <w:t>Form 20-F for the fiscal year ended December 31, 2022 and do not expect to be identified as a Commission-Identified Issuer under the HFCAA after we filed our annual report on Form 20-F for the fiscal year ended December 31, 2023.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 — D. Risk Factors — Risks Related to Doing Business in China — 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 — D. Risk Factors — Risks Related to Doing Business in China — 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 in the 2023 Annual Report.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62"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NIO Inc. is a holding company with no material operations of its own. We conduct our operations in China (i) primarily through our PRC subsidiaries, and (ii) to a much lesser extent, the VIEs and their subsidiary. As a result, although other means are available for us to obtain financing at the holding company level, NIO Inc.’s ability to pay dividends to the shareholders and to service any debt it may incur may depend upon dividends paid by our PRC subsidiaries and service fees paid by the VIEs in China. If any of our subsidiaries incurs debt on its own behalf in the future, the instruments governing such debt may restrict its ability to pay dividends to NIO Inc. In addition, our PRC subsidiaries are permitted to pay dividends to NIO Inc. only out of their retained earnings, if any, as determined in accordance with PRC accounting standards and regulations. Further, our PRC subsidiaries and the VIEs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 — B. Liquidity and Capital Resources — Holding Company Structure” in the 2023 Annual Report.</w:t>
      </w:r>
    </w:p>
    <w:p>
      <w:pPr>
        <w:spacing w:after="0" w:line="338"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Under PRC laws and regulations, our PRC subsidiaries and the VIEs are subject to certain restrictions with respect to paying dividends or otherwise transferring any of their net assets to us. Remittance of dividends by a wholly foreign-owned enterprise out of China is also subject to examination by the banks designated by the State Administration of Foreign Exchange of the PRC, or SAFE. The amounts restricted include the paid-up capital and the statutory reserve funds of our PRC subsidiaries and the net assets of the VIEs and their subsidiaries in which we have no legal ownership, totaling RMB38,902.1 million, RMB40,720.9 million and RMB42,256.2 million (US$5,951.7 million) as of December 31, 2021, 2022 and 2023, respectively, and the net assets of the VIEs and their subsidiaries that are restricted was nil, RMB50.0 million and RMB54.7 million (US$7.7 million) as of December 31, 2021, 2022 and 2023, respectively. For risks relating to the fund flows of our operations in China, see “Item 3. Key Information — D. Risk Factors — Risks Related to Doing Business in China — We may rely on distributions by our PRC subsidiaries for our financing requirements, and any limitation on our PRC subsidiaries to make payments to us could have a material and adverse effect on our business” in the 2023 Annual Report.</w:t>
      </w:r>
    </w:p>
    <w:p>
      <w:pPr>
        <w:spacing w:after="0" w:line="106"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For purposes of illustration, the following discussion reflects the hypothetical taxes that might be required to be paid within China, assuming that: (i) we have taxable earnings, and (ii) we determine to pay dividends in the future.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73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516245" cy="8173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Tax calculation</w:t>
      </w:r>
      <w:r>
        <w:rPr>
          <w:rFonts w:ascii="Times New Roman" w:cs="Times New Roman" w:eastAsia="Times New Roman" w:hAnsi="Times New Roman"/>
          <w:sz w:val="17"/>
          <w:szCs w:val="17"/>
          <w:b w:val="1"/>
          <w:bCs w:val="1"/>
          <w:color w:val="auto"/>
          <w:vertAlign w:val="superscript"/>
        </w:rPr>
        <w:t>(1)</w:t>
      </w:r>
    </w:p>
    <w:p>
      <w:pPr>
        <w:sectPr>
          <w:pgSz w:w="11900" w:h="16838" w:orient="portrait"/>
          <w:cols w:equalWidth="0" w:num="1">
            <w:col w:w="9879"/>
          </w:cols>
          <w:pgMar w:left="580" w:top="97" w:right="1440" w:bottom="1440" w:gutter="0" w:footer="0" w:header="0"/>
        </w:sectPr>
      </w:pPr>
    </w:p>
    <w:p>
      <w:pPr>
        <w:spacing w:after="0" w:line="6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Hypothetical pre-tax earnings</w:t>
      </w:r>
    </w:p>
    <w:p>
      <w:pPr>
        <w:spacing w:after="0" w:line="4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Tax on earnings at statutory rate of 25%</w:t>
      </w:r>
      <w:r>
        <w:rPr>
          <w:rFonts w:ascii="Times New Roman" w:cs="Times New Roman" w:eastAsia="Times New Roman" w:hAnsi="Times New Roman"/>
          <w:sz w:val="23"/>
          <w:szCs w:val="23"/>
          <w:color w:val="auto"/>
          <w:vertAlign w:val="superscript"/>
        </w:rPr>
        <w:t>(2)</w:t>
      </w:r>
    </w:p>
    <w:p>
      <w:pPr>
        <w:spacing w:after="0" w:line="4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Net earnings available for distribution</w:t>
      </w:r>
    </w:p>
    <w:p>
      <w:pPr>
        <w:spacing w:after="0" w:line="2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Withholding tax at standard rate of 10%</w:t>
      </w:r>
      <w:r>
        <w:rPr>
          <w:rFonts w:ascii="Times New Roman" w:cs="Times New Roman" w:eastAsia="Times New Roman" w:hAnsi="Times New Roman"/>
          <w:sz w:val="23"/>
          <w:szCs w:val="23"/>
          <w:color w:val="auto"/>
          <w:vertAlign w:val="superscript"/>
        </w:rPr>
        <w:t>(3)</w:t>
      </w:r>
    </w:p>
    <w:p>
      <w:pPr>
        <w:spacing w:after="0" w:line="4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Net distribution to Parent/Shareholders</w:t>
      </w:r>
    </w:p>
    <w:p>
      <w:pPr>
        <w:spacing w:after="0" w:line="3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Notes: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​100%</w:t>
        <w:tab/>
        <w:t>​</w:t>
      </w:r>
    </w:p>
    <w:p>
      <w:pPr>
        <w:spacing w:after="0" w:line="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 (25)%</w:t>
        <w:tab/>
        <w:t>​</w:t>
      </w:r>
    </w:p>
    <w:p>
      <w:pPr>
        <w:spacing w:after="0" w:line="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 75%</w:t>
        <w:tab/>
        <w:t>​</w:t>
      </w:r>
    </w:p>
    <w:p>
      <w:pPr>
        <w:spacing w:after="0" w:line="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​(7.5)%</w:t>
        <w:tab/>
        <w:t>​</w:t>
      </w:r>
    </w:p>
    <w:p>
      <w:pPr>
        <w:spacing w:after="0" w:line="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​67.5%</w:t>
        <w:tab/>
        <w:t>​</w:t>
      </w:r>
    </w:p>
    <w:p>
      <w:pPr>
        <w:spacing w:after="0" w:line="580" w:lineRule="exact"/>
        <w:rPr>
          <w:sz w:val="20"/>
          <w:szCs w:val="20"/>
          <w:color w:val="auto"/>
        </w:rPr>
      </w:pPr>
    </w:p>
    <w:p>
      <w:pPr>
        <w:sectPr>
          <w:pgSz w:w="11900" w:h="16838" w:orient="portrait"/>
          <w:cols w:equalWidth="0" w:num="2">
            <w:col w:w="7680" w:space="720"/>
            <w:col w:w="1479"/>
          </w:cols>
          <w:pgMar w:left="580" w:top="97" w:right="1440" w:bottom="1440" w:gutter="0" w:footer="0" w:header="0"/>
          <w:type w:val="continuous"/>
        </w:sectPr>
      </w:pPr>
    </w:p>
    <w:p>
      <w:pPr>
        <w:ind w:left="1640" w:right="399" w:hanging="362"/>
        <w:spacing w:after="0" w:line="302" w:lineRule="auto"/>
        <w:tabs>
          <w:tab w:leader="none" w:pos="1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example, the tax calculation has been simplified. The hypothetical book pre-tax earnings amount, not considering timing differences, is assumed to equal taxable income in China.</w:t>
      </w:r>
    </w:p>
    <w:p>
      <w:pPr>
        <w:spacing w:after="0" w:line="26" w:lineRule="exact"/>
        <w:rPr>
          <w:rFonts w:ascii="Times New Roman" w:cs="Times New Roman" w:eastAsia="Times New Roman" w:hAnsi="Times New Roman"/>
          <w:sz w:val="14"/>
          <w:szCs w:val="14"/>
          <w:color w:val="auto"/>
        </w:rPr>
      </w:pPr>
    </w:p>
    <w:p>
      <w:pPr>
        <w:ind w:left="1640" w:right="399" w:hanging="362"/>
        <w:spacing w:after="0" w:line="302" w:lineRule="auto"/>
        <w:tabs>
          <w:tab w:leader="none" w:pos="1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subsidiaries qualifies for a 15% preferential income tax rate in China. For purposes of this hypothetical example, the table above reflects a maximum tax scenario under which the full statutory rate would be effective.</w:t>
      </w:r>
    </w:p>
    <w:p>
      <w:pPr>
        <w:spacing w:after="0" w:line="26" w:lineRule="exact"/>
        <w:rPr>
          <w:rFonts w:ascii="Times New Roman" w:cs="Times New Roman" w:eastAsia="Times New Roman" w:hAnsi="Times New Roman"/>
          <w:sz w:val="14"/>
          <w:szCs w:val="14"/>
          <w:color w:val="auto"/>
        </w:rPr>
      </w:pPr>
    </w:p>
    <w:p>
      <w:pPr>
        <w:jc w:val="both"/>
        <w:ind w:left="1640" w:right="399" w:hanging="362"/>
        <w:spacing w:after="0" w:line="276" w:lineRule="auto"/>
        <w:tabs>
          <w:tab w:leader="none" w:pos="1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PRC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105"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Under PRC law, NIO Inc. may provide funding to our PRC subsidiaries only through capital contributions or loans, and to the VIEs only through loans, subject to satisfaction of applicable government registration and approval requirements. NIO Inc. and its subsidiaries extended loans to the nominee shareholders of the VIEs for their investment in the VIEs, with outstanding principal amount of RMB0.1 million, RMB50.1 million and RMB50.1 million (US$7.1 million) as of December 31, 2021, 2022 and 2023, respectively. In addition, NIO Inc. and its subsidiaries also extended loans to the VIEs for operations with outstanding principal amount of RMB7.0 million, RMB32.8 million and RMB86.9 million (US$12.2 million) as of December 31, 2021, 2022 and 2023, respectively.</w:t>
      </w:r>
    </w:p>
    <w:p>
      <w:pPr>
        <w:spacing w:after="0" w:line="124"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Pursuant to the exclusive business cooperation agreements between NIO Co., Ltd., or Shanghai NIO, a wholly-owned subsidiary of our company, and Beijing NIO, Shanghai NIO may adjust the payment time and payment method of the service fees, and Beijing NIO will accept any such adjustment. For the years ended December 31, 2021, 2022 and 2023, no service under the contractual arrangements was provided by Shanghai NIO and no service fee was paid by Beijing NIO to Shanghai NIO accordingly. We intend to determine the amount of service fee and payment method based on the working capital needs of Shanghai NIO and Beijing NIO, and settle such service fees accordingly in the future. Pursuant to a separate service agreement, for the years ended December 31, 2021, 2022 and 2023, Shanghai NIO paid Beijing NIO RMB0.6 million, RMB0.7 million and RMB0.7 million (US$0.1 million) for services provided by Beijing NIO.</w:t>
      </w:r>
    </w:p>
    <w:p>
      <w:pPr>
        <w:spacing w:after="0" w:line="323"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Pursuant to the exclusive business cooperation agreement dated November 30, 2022 between Anhui NIO Autonomous Driving Technology Co., Ltd., or Anhui NIO AD, a wholly-owned subsidiary of our company, and Anhui NIO AT, Anhui NIO AD may adjust the payment time and payment method of the service fees, and Anhui NIO AT will accept any such adjustment. For the years ended December 31, 2022 and 2023, no service under the contractual arrangements was provided by Anhui NIO AD and no service fee was paid by Anhui NIO AT to Anhui NIO AD accordingly. We intend to determine the amount of service fee and payment method based on the working capital needs of Anhui NIO AD and Anhui NIO AT, and settle such service fees accordingly in the future. Pursuant to a separate service agreement, for the years ended December 31, 2021, 2022 and 2023, Anhui NIO AD paid Anhui NIO AT nil, RMB70.1 million and RMB58.4 million (US$8.2 million) for services provided by Anhui NIO AT.</w:t>
      </w:r>
    </w:p>
    <w:p>
      <w:pPr>
        <w:spacing w:after="0" w:line="127"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Pursuant to the exclusive business cooperation agreement dated December 12, 2022 between NIO Holding Co., Ltd., or NIO China, a PRC subsidiary in which we hold 92.114% controlling equity interests, and Anhui NIO DT, NIO China may adjust the payment time and payment method of the service fees, and Anhui NIO DT will accept any such adjustment. For the years ended December 31, 2022 and 2023, no service under the contractual arrangements was provided by NIO China and no service fee was paid by Anhui NIO DT to NIO China accordingly. We intend to determine the amount of service fee and payment method based on the working capital needs of NIO China and Anhui NIO DT, and settle such service fees accordingly in the future.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NIO Inc. has not declared or paid any cash dividends, nor does it have any present plan to pay any cash dividends on our ordinary shares in the foreseeable future. We currently intend to retain most, if not all, of our available funds and any future earnings to operate and expand our business. See “Item 8. Financial Information — A. Consolidated Statements and Other Financial Information — Dividend Policy.” For Cayman Islands, PRC and United States federal income tax considerations of an investment in our ADSs or Class A ordinary shares, see “Item 10. Additional Information — E. Taxation” in the 2023 Annual Report.</w:t>
      </w:r>
    </w:p>
    <w:p>
      <w:pPr>
        <w:spacing w:after="0" w:line="120"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2021, 2022 and 2023 and for the years ended December 31, 2021, 2022 and 2023, none of Beijing NIO, Anhui NIO AT and Anhui NIO DT had significant operations or any material assets or liabilities. As a result, the financial information related to the consolidated VIEs were insignificant to our consolidated financial statements.</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Investing in our ADSs and Class A ordinary shares involves significant risks. You should carefully consider all of the information in this prospectus supplement, the accompanying prospectus and the documents incorporated by reference therein before making an investment in our ADSs and Class A ordinary shares. Below please find a summary of the principal risks we face, organized under headings. These risks are discussed more fully in “Item 3. Key Information — D. Risk Factors” in our 2023 Annual Report, which is incorporated in the accompanying prospectus by reference.</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48"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315" w:lineRule="exact"/>
        <w:rPr>
          <w:sz w:val="20"/>
          <w:szCs w:val="20"/>
          <w:color w:val="auto"/>
        </w:rPr>
      </w:pPr>
    </w:p>
    <w:p>
      <w:pPr>
        <w:ind w:left="1820" w:right="39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market is highly competitive, and we face significant challenges in competing in our industry;</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manufacture vehicles of sufficient quality and appeal to customers on schedule and on a large scale is still evolving;</w:t>
      </w:r>
    </w:p>
    <w:p>
      <w:pPr>
        <w:spacing w:after="0" w:line="53" w:lineRule="exact"/>
        <w:rPr>
          <w:rFonts w:ascii="Times New Roman" w:cs="Times New Roman" w:eastAsia="Times New Roman" w:hAnsi="Times New Roman"/>
          <w:sz w:val="18"/>
          <w:szCs w:val="18"/>
          <w:color w:val="auto"/>
        </w:rPr>
      </w:pPr>
    </w:p>
    <w:p>
      <w:pPr>
        <w:ind w:left="1820" w:right="399" w:hanging="182"/>
        <w:spacing w:after="0" w:line="261"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been profitable, and only generated positive cash flows from operations in certain periods;</w:t>
      </w:r>
    </w:p>
    <w:p>
      <w:pPr>
        <w:spacing w:after="0" w:line="314"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independent manufacturing. Any delays in the manufacturing and launching of our products, or ramping up of our production capacity,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in collaboration with partners is subject to risks;</w:t>
      </w:r>
    </w:p>
    <w:p>
      <w:pPr>
        <w:spacing w:after="0" w:line="11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reduction or elimination of government and economic incentives or governmental policies which are favorable for electric vehicles and domestically produced vehicles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vehicles may not perform in line with customer expectations;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challenges providing our power solutions;</w:t>
      </w:r>
    </w:p>
    <w:p>
      <w:pPr>
        <w:spacing w:after="0" w:line="11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may not be generally accepted by our users. If we are unable to provide or arrange satisfactory products or customer service for our users, our business and reputation may be materially and adversely affected;</w:t>
      </w:r>
    </w:p>
    <w:p>
      <w:pPr>
        <w:spacing w:after="0" w:line="6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suppliers, many of whom are our single source suppliers for the components they supply; and</w:t>
      </w:r>
    </w:p>
    <w:p>
      <w:pPr>
        <w:spacing w:after="0" w:line="53"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Battery Asset Company to provide Battery as a Service to our users. If Battery Asset Company fails to achieve smooth and stable operations, our Battery as a Service may be materially and adversely affected.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62" w:lineRule="exact"/>
        <w:rPr>
          <w:sz w:val="20"/>
          <w:szCs w:val="20"/>
          <w:color w:val="auto"/>
        </w:rPr>
      </w:pPr>
    </w:p>
    <w:p>
      <w:pPr>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We are also subject to risks and uncertainties related to our corporate structure, including, but not limited to, the following:</w:t>
      </w:r>
    </w:p>
    <w:p>
      <w:pPr>
        <w:spacing w:after="0" w:line="54" w:lineRule="exact"/>
        <w:rPr>
          <w:sz w:val="20"/>
          <w:szCs w:val="20"/>
          <w:color w:val="auto"/>
        </w:rPr>
      </w:pPr>
    </w:p>
    <w:p>
      <w:pPr>
        <w:jc w:val="both"/>
        <w:ind w:left="1820" w:right="399" w:hanging="182"/>
        <w:spacing w:after="0" w:line="253"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holding company with no equity ownership in the VIEs and we conduct our operations in China (i) primarily through our PRC subsidiaries, and (ii) to a much lesser extent, the VIEs with which we maintain contractual arrangements, and their subsidiary. Investors in our ADSs and Class A ordinary shares thus are not purchasing equity interests in the VIEs in China but instead are purchasing equity interests in a Cayman Islands holding company. If the PRC government deems that our VIE arrangements do not comply with PRC laws, or if these PRC laws change, we could be subject to severe penalties or be forced to relinquish our interests in those operations. Our holding company in the Cayman Islands,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group;</w:t>
      </w:r>
    </w:p>
    <w:p>
      <w:pPr>
        <w:spacing w:after="0" w:line="302"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VIEs and their shareholders to hold a controlling financial interest over each VIE, which may not be as effective as direct ownership in providing operational control;</w:t>
      </w:r>
    </w:p>
    <w:p>
      <w:pPr>
        <w:spacing w:after="0" w:line="6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the equity pledge agreements between us and the VIEs’ shareholders may be subject to limitations based on PRC laws and regulations; and</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VIEs have conflicts of interest with us, which may materially and adversely affect our business and financial condition.</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62" w:lineRule="exact"/>
        <w:rPr>
          <w:sz w:val="20"/>
          <w:szCs w:val="20"/>
          <w:color w:val="auto"/>
        </w:rPr>
      </w:pPr>
    </w:p>
    <w:p>
      <w:pPr>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We face risks and uncertainties related to doing business in China in general, including, but not limited to, the following:</w:t>
      </w:r>
    </w:p>
    <w:p>
      <w:pPr>
        <w:spacing w:after="0" w:line="54" w:lineRule="exact"/>
        <w:rPr>
          <w:sz w:val="20"/>
          <w:szCs w:val="20"/>
          <w:color w:val="auto"/>
        </w:rPr>
      </w:pPr>
    </w:p>
    <w:p>
      <w:pPr>
        <w:ind w:left="1820" w:right="39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political or social conditions or government policies could have a material and adverse effect on our business and results of operations;</w:t>
      </w:r>
    </w:p>
    <w:p>
      <w:pPr>
        <w:spacing w:after="0" w:line="53" w:lineRule="exact"/>
        <w:rPr>
          <w:rFonts w:ascii="Times New Roman" w:cs="Times New Roman" w:eastAsia="Times New Roman" w:hAnsi="Times New Roman"/>
          <w:sz w:val="18"/>
          <w:szCs w:val="18"/>
          <w:color w:val="auto"/>
        </w:rPr>
      </w:pPr>
    </w:p>
    <w:p>
      <w:pPr>
        <w:jc w:val="both"/>
        <w:ind w:left="1820" w:right="399" w:hanging="182"/>
        <w:spacing w:after="0" w:line="257"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regarding the interpretation and enforcement of laws and quickly evolving rules and regulations in China, could result in a material adverse change in our operations and the value of our ADSs and Class A ordinary shares. For more details, see “Item 3. Key Information — D. Risk Factors — Risks Related to Doing Business in China — Uncertainties in the interpretation and enforcement of PRC laws and regulations could limit the legal protections available to you and us”;</w:t>
      </w:r>
    </w:p>
    <w:p>
      <w:pPr>
        <w:spacing w:after="0" w:line="295" w:lineRule="exact"/>
        <w:rPr>
          <w:rFonts w:ascii="Times New Roman" w:cs="Times New Roman" w:eastAsia="Times New Roman" w:hAnsi="Times New Roman"/>
          <w:sz w:val="18"/>
          <w:szCs w:val="18"/>
          <w:color w:val="auto"/>
        </w:rPr>
      </w:pPr>
    </w:p>
    <w:p>
      <w:pPr>
        <w:jc w:val="both"/>
        <w:ind w:left="1820" w:right="399" w:hanging="182"/>
        <w:spacing w:after="0" w:line="254"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significant authority in regulating our operations and its oversight and control over capital raising activities of listed companies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For more details, see “Item 3. Key Information — D. Risk Factors — Risks Related to Doing Business in China — The PRC government’s significant oversight over our business operation could result in a material adverse change in our operations and the value of our ADSs”;</w:t>
      </w:r>
    </w:p>
    <w:p>
      <w:pPr>
        <w:spacing w:after="0" w:line="83"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or the filing with the CSRC or other PRC government authorities may be required in connection with our future offshore listings and capital raising activities, and, if required, we cannot predict whether or for how long we will be able to obtain such approval or filing;</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complexity, uncertainties and changes in PRC regulations on internet-related business, automotive businesses and other business carried out by our PRC subsidiaries and the VIEs;</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hanging="182"/>
        <w:spacing w:after="0" w:line="254"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being traded in the United States under the HFCAA in the future if the PCAOB determines that it is unable to inspect or investigate completely auditor located in China. The delisting or prohibition of trading of the ADSs, or the threat of their being delisted or prohibited from trading, may materially and adversely affect the value of your investment. For more details, see “Item 3. Key Information — D. Risk Factors — Risks Related to Doing Business in China — 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Class A Ordinary Shares</w:t>
      </w:r>
    </w:p>
    <w:p>
      <w:pPr>
        <w:spacing w:after="0" w:line="162" w:lineRule="exact"/>
        <w:rPr>
          <w:sz w:val="20"/>
          <w:szCs w:val="20"/>
          <w:color w:val="auto"/>
        </w:rPr>
      </w:pPr>
    </w:p>
    <w:p>
      <w:pPr>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we are subject to risks related to our ADSs and Class A ordinary shares:</w:t>
      </w:r>
    </w:p>
    <w:p>
      <w:pPr>
        <w:spacing w:after="0" w:line="54" w:lineRule="exact"/>
        <w:rPr>
          <w:sz w:val="20"/>
          <w:szCs w:val="20"/>
          <w:color w:val="auto"/>
        </w:rPr>
      </w:pPr>
    </w:p>
    <w:p>
      <w:pPr>
        <w:ind w:left="1820" w:right="39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 different practices as to certain matters as compared with many other companies listed on the Hong Kong Stock Exchange;</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the listing venue of our securities, you may lose the shareholder protection mechanisms afforded under the regulatory regimes of the applicable securities exchange;</w:t>
      </w:r>
    </w:p>
    <w:p>
      <w:pPr>
        <w:spacing w:after="0" w:line="53"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of our listed securities have been and are likely to continue to be, volatile, which could result in substantial losses to investors;</w:t>
      </w:r>
    </w:p>
    <w:p>
      <w:pPr>
        <w:spacing w:after="0" w:line="53"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our Class A ordinary shares and/or ADSs, the market price for our Class A ordinary shares and/or ADSs and trading volume could decline; and</w:t>
      </w:r>
    </w:p>
    <w:p>
      <w:pPr>
        <w:spacing w:after="0" w:line="67"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162"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Building 19, No. 1355, Caobao Road, Minhang District, Shanghai, PRC. Our telephone number at this address is +86-21-6908-2018. Our registered office in the Cayman Islands is located at the offices of Maples Corporate Services Limited, PO Box 309, Ugland House, Grand Cayman, KY1-1104, Cayman Islands. Our agent for service of process in the United States is Cogency Global Inc., located at 122 East 42nd Street, 18th Floor, New York, NY 10168.</w:t>
      </w:r>
    </w:p>
    <w:p>
      <w:pPr>
        <w:spacing w:after="0" w:line="102"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All information that we file with or furnish to the SEC can be obtained over the internet on the SEC’s website at www.sec.gov. We also maintain a website at ir.nio.com, but information contained on, or linked from, our website is not incorporated by reference in this prospectus supplement or the accompanying prospectus. You should not regard any information on our website as a part of this prospectus supplement or the accompanying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Investing in the ADSs and Class A ordinary shares involves a high degree of risk. Before you decide to buy these securities, you should carefully consider the risks and uncertainties as described in our 2023 Annual Report and the other information contained in this prospectus supplement and the accompanying prospectus, including the documents incorporated by reference therein. If any of these risks actually occurs, our business, financial condition and results of operations could suffer, and you may lose all or part of your investment. Please see “Where You Can Find More Information About Us” and “Incorporation of Documents by Reference” herein and in the accompanying prospectus for information on where you can find the documents we have filed with or furnished to the SEC and which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Save for a lending fee to be paid to CHJ Limited under the SGX Securities Lending Program, neither our company or CHJ Limited will receive any proceeds from the lending of the Class A ordinary shares registered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2023 on an actual basis.</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 should read this table in conjunction with our consolidated financial statements and related notes thereto in our 2023 Annual Report and “Item 5. Operating and Financial Review and Prospects” in our 2023 Annual Report, which is incorporated in the accompanying prospectus by reference.</w:t>
      </w:r>
    </w:p>
    <w:p>
      <w:pPr>
        <w:sectPr>
          <w:pgSz w:w="11900" w:h="16838" w:orient="portrait"/>
          <w:cols w:equalWidth="0" w:num="1">
            <w:col w:w="9879"/>
          </w:cols>
          <w:pgMar w:left="580" w:top="97" w:right="1440" w:bottom="1440" w:gutter="0" w:footer="0" w:header="0"/>
        </w:sectPr>
      </w:pP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Restricted cash</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portion of long-term borrowings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borrowings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Redeemable non-controlling interests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C ordinary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NIO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Capitalization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800" w:type="dxa"/>
            <w:vAlign w:val="bottom"/>
            <w:tcBorders>
              <w:bottom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spacing w:after="0" w:line="281"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thousands)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(unaudited)</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32,935,111​​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4,638,813​</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5,542,271​​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780,613​</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16,810,107​​</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2,367,654​</w:t>
            </w: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144,125​​</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29,766,134​​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4,192,472​</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4,736,087​​</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667,064​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13,042,861​​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1,837,049​</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3,860,384​​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543,724​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3,860,384​​</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543,724​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254​​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(1,849,600)</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(260,511)</w:t>
            </w: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​​117,717,254​​</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16,580,128​</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432,991​​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60,986​</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 w:hanging="99"/>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​​(90,758,034​​) ​​(12,783,002​)</w:t>
      </w:r>
    </w:p>
    <w:p>
      <w:pPr>
        <w:spacing w:after="0" w:line="63" w:lineRule="exact"/>
        <w:rPr>
          <w:rFonts w:ascii="Times New Roman" w:cs="Times New Roman" w:eastAsia="Times New Roman" w:hAnsi="Times New Roman"/>
          <w:sz w:val="18"/>
          <w:szCs w:val="18"/>
          <w:color w:val="auto"/>
        </w:rPr>
      </w:pPr>
    </w:p>
    <w:p>
      <w:pPr>
        <w:ind w:left="160" w:hanging="99"/>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25,546,233​​ ​​  3,598,111​</w:t>
      </w: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189,399​​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26,676​</w:t>
            </w:r>
          </w:p>
        </w:tc>
      </w:tr>
      <w:tr>
        <w:trPr>
          <w:trHeight w:val="270"/>
        </w:trPr>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25,735,632​​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3,624,787​</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42,638,877​​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6,005,560​</w:t>
            </w:r>
          </w:p>
        </w:tc>
      </w:tr>
    </w:tbl>
    <w:p>
      <w:pPr>
        <w:spacing w:after="0" w:line="200" w:lineRule="exact"/>
        <w:rPr>
          <w:sz w:val="20"/>
          <w:szCs w:val="20"/>
          <w:color w:val="auto"/>
        </w:rPr>
      </w:pPr>
    </w:p>
    <w:p>
      <w:pPr>
        <w:sectPr>
          <w:pgSz w:w="11900" w:h="16838" w:orient="portrait"/>
          <w:cols w:equalWidth="0" w:num="2">
            <w:col w:w="6500" w:space="720"/>
            <w:col w:w="26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payment of dividends is at the discretion of our board of directors, subject to our twelfth amended and restated memorandum and articles of association.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share premium account, and provided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2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95"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paid by our subsidiaries in China for our cash requirements, including any payment of dividends to our shareholders. PRC regulations may restrict the ability of our PRC subsidiaries to pay dividends to us. See “Item 3. Key Information — D. Risk Factors — Risks Related to Doing Business in China —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the 2023 Annual Report.</w:t>
      </w:r>
    </w:p>
    <w:p>
      <w:pPr>
        <w:spacing w:after="0" w:line="121"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Cash dividends on our ordinary shares, if any, will be paid in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DESCRIPTION OF SHARE LENDING ARRANGEMENTS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CHJ Limited, a wholly-owned, consolidated special purpose vehicle of ours, is participating as a lender in the SGX Securities Lending Program, lending up to 2,000,000 of our Class A ordinary shares, US$0.00025 per share, or approximately 0.1% of our total Class A ordinary shares issued and outstanding as of the date of this prospectus supplement. In this prospectus supplement, we refer to the up to 2,000,000 of our Class A ordinary shares to be lent by CHJ Limited as the Loaned Shares, and CHJ Limited’s participating as a lender in the SGX Securities Lending Program by lending the Loaned Shares as the Loan.</w:t>
      </w:r>
    </w:p>
    <w:p>
      <w:pPr>
        <w:spacing w:after="0" w:line="12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terms and conditions of the Loan, CHJ Limited shall deliver the Loaned Shares to CDP by CDP debiting the Loaned Shares from CHJ Limited’s CDP securities account. The Loaned Shares are deemed to have been delivered by CHJ Limited to CDP only upon the successful debit of the Loaned Shares from CHJ Limited’s CDP securities account.</w:t>
      </w:r>
    </w:p>
    <w:p>
      <w:pPr>
        <w:spacing w:after="0" w:line="9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Loaned Shares may be publicly traded on the Singapore Exchange during the loan period from the date of this prospectus until the Loan is terminated by either CDP or CHJ Limited. The Loan, including the delivery of Loaned Shares, may be transacted or discontinued at CDP’s discretion and without any reference to CHJ Limited. The Loaned Shares may be borrowed by borrowers registered under the SGX Securities Lending Program. Such registered borrowers may be clearing members admitted to be a member of CDP for clearing, depositary agents registered with the CDP, banks licensed by the Monetary Authority of Singapore under the Banking Act 1970 of Singapore meeting a minimum credit rating and entities licensed to deal in securities either in Singapore or in selected foreign jurisdictions.</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Termination of Loan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termination of the Loan may be initiated by CDP or CHJ Limited. The Loan shall terminate upon CDP’s delivery to CHJ Limited securities of an identical type, nominal value, description and amount to the Loaned Shares, or the Equivalent Loaned Shares, in respect of all Loaned Shares under the Loan.</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CHJ Limited may at any time notify CDP of its intention to terminate the Loan by serving on CDP a written notice of termination.</w:t>
      </w:r>
    </w:p>
    <w:p>
      <w:pPr>
        <w:spacing w:after="0" w:line="8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Upon termination of the Loan, CHJ Limited shall have no further claims against CDP in respect of the Loan.</w:t>
      </w:r>
    </w:p>
    <w:p>
      <w:pPr>
        <w:spacing w:after="0" w:line="35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the event that CDP initiates a termination of the Loan, Equivalent Loaned Shares will have to be delivered to CHJ Limited, with no option for paying a cash settlement amount to CHJ Limited in respect of the Loan.</w:t>
      </w:r>
    </w:p>
    <w:p>
      <w:pPr>
        <w:spacing w:after="0" w:line="10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Any termination of the Loan by CHJ Limited shall be notified to CDP at least thirty days in advance of the intended date of termination of the Loan or disposal of the Loaned Shares, as the case may be. Such intended date, or the Intended Termination Date, shall be specified by CHJ Limited in the notice of termination. If CHJ Limited initiates a termination of the Loan, CDP shall deliver to CHJ Limited the Equivalent Loaned Shares by the close of business on the seventh business day after the Intended Termination Date, or the Re-Delivery Period, with no option for paying a cash settlement amount to CHJ Limited in respect of the Loan. If CDP is unable to deliver the Equivalent Loaned Shares within the Re-Delivery Period, CDP shall inform CHJ Limited accordingly prior to the Intended Termination Date. Prior to the expiry of the Re-Delivery Period, CHJ Limited can elect to extend the Re-Delivery Period by up to 30 days, or amend the termination notice to CDP to reflect such number of Loaned Shares that CDP is able to deliver within the Re-Delivery Period. In the event that CHJ Limited amends the termination notice to terminate the Loan only in respect of a portion of the Loaned Shares, CDP shall deliver the Equivalent Loaned Shares in respect of the portion of the Loaned Shares specified in the amended notice of termination within the Re-Delivery Period. In addition, so long as the Loaned Shares are listed and tradable on the Singapore Exchange, CDP has no discretion to elect to pay to CHJ Limited a cash settlement amount in lieu of redelivery of Equivalent Loaned Shares. If the Loaned Shares are not listed and/or tradable on the Singapore Exchange at the time either CDP or CHJ Limited initiates a termination of the Loan, CHJ Limited shall grant CDP an extension of time to deliver the Equivalent Loaned Shares. In conjunction with the granted extension, CDP and CHJ Limited agree to decide alternatives to redeliver the Loaned Shares in the form of Class A ordinary shares of our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company in good faith and in a commercially reasonable manner, provided that such settlement alternatives shall provide the same economic value to CHJ Limited.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Income and Corporate Actions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Where any interest, dividends or other distributions of any kind, or Income, with respect to any Loaned Shares, other than Class A ordinary shares is paid in relation to any Loaned Share by reference to a date and time on which shareholders of NIO must be registered in order to receive or participate in such Income, or the Record Date, CDP shall, after such Income is received by CDP, pay and deliver to CHJ Limited a sum of money or property equivalent to such Income that CHJ Limited would have been entitled to receive had such Loan Shares not been loaned to CDP and had been retained by CHJ Limited on the Record Date. The foregoing Income include any Income arising from any action taken or declared by NIO that alters the nature of rights in relation to the Loaned Shares, or Corporate Action, including a conversion, sub-division, consolidation, pre-emption, take-over, and rights to receive securities or a convertible certificate, including any entitlements arising therefrom, CDP may account for any deduction or withholding of tax as may be required by law or regulation. However, in the event that Class A ordinary shares are distributed in relation to the Loaned Shares, the number of the Loaned Shares will be increased by the number of Class A ordinary shares that are received by CDP in relation to the Loaned Shares.</w:t>
      </w:r>
    </w:p>
    <w:p>
      <w:pPr>
        <w:spacing w:after="0" w:line="12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Where any Corporate Action is taken or declared by NIO and such Corporate Action rights in respect of the Loaned Shares are exercisable prior to the delivery of Equivalent Loaned Shares:</w:t>
      </w:r>
    </w:p>
    <w:p>
      <w:pPr>
        <w:spacing w:after="0" w:line="54" w:lineRule="exact"/>
        <w:rPr>
          <w:sz w:val="20"/>
          <w:szCs w:val="20"/>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CHJ Limited may, not less than five business days before the rights expire, give written notice to CDP to request CDP to exercise such rights;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CDP may, subject to any conditions it may impose, including requiring CHJ Limited to pay a prescribed administrative charge and/or any sums that CDP may incur in respect of such exercise, agree to exercise the rights in accordance with the written notice.</w:t>
      </w:r>
    </w:p>
    <w:p>
      <w:pPr>
        <w:spacing w:after="0" w:line="95"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Except as mentioned in this section, CDP shall have no obligation to arrange for the exercise of any voting rights or Corporate Action rights in relation to the Loaned Shares, on behalf of CHJ Limited or otherwise.</w:t>
      </w:r>
    </w:p>
    <w:p>
      <w:pPr>
        <w:spacing w:after="0" w:line="32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CDP’s obligations in respect of the Income and Corporate Action rights set out above shall only arise where CDP had actually received the Income or Corporate Action rights, as the case may be, in respect of the Loaned Shares.</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expect to treat this share lending arrangement as an equity transaction for U.S. GAAP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being represented by Skadden, Arps, Slate, Meagher &amp; Flom LLP with respect to certain legal matters as to United States federal securities law and New York state law. We are being represented by WongPartnership LLP with respect to certain legal matters as to Singapore law. The validity of the Class A ordinary shares registered hereby and legal matters as to Cayman Islands law will be passed upon for us by Maples and Calder (Hong Kong) LLP. Certain legal matters as to PRC law will be passed upon for us by Han Kun Law Offices. Skadden, Arps, Slate, Meagher &amp; Flom LLP may rely upon Maples and Calder (Hong Kong) LLP with respect to matters governed by Cayman Islands law and Han Kun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that are applicable to a foreign private issuer. We file reports, including annual reports on Form 20-F, and other information with the SEC pursuant to the rules and regulations of the SEC that apply to foreign private issuers. Our SEC filings are available over the internet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website is ir.nio.com. The information contained on, or linked from, our website is not a part of this prospectus supplement.</w:t>
      </w:r>
    </w:p>
    <w:p>
      <w:pPr>
        <w:spacing w:after="0" w:line="11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with the SEC, using a shelf registration process under the Securities Act of 1933, relating to the securities to be lent by CHJ Limited. This prospectus supplement and the accompanying prospectus omit some information contained in the registration statement in accordance with SEC rules and regulations. You should review the information and exhibits in the registration statement for further information on us and the securities CHJ Limited is lending. Statements in this prospectus supplement and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130175</wp:posOffset>
            </wp:positionV>
            <wp:extent cx="1234440" cy="428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23444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15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i w:val="1"/>
          <w:iCs w:val="1"/>
          <w:color w:val="auto"/>
        </w:rPr>
        <w:t>CLASS A ORDINARY SHARES</w:t>
      </w:r>
    </w:p>
    <w:p>
      <w:pPr>
        <w:spacing w:after="0" w:line="1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We may from time to time in one or more offerings offer and sell our Class A ordinary shares, including</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 A ordinary shares represented by American depositary shares, or ADSs. Each ADS represents one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Class A ordinary share.</w:t>
      </w:r>
    </w:p>
    <w:p>
      <w:pPr>
        <w:spacing w:after="0" w:line="137"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In addition, from time to time, the selling shareholders to be named in a prospectus supplement may offer and sell our Class A ordinary shares held by them. The selling shareholders may sell our Class A ordinary shares through public or private transactions at prevailing market prices or at privately negotiated prices. We will not receive any proceeds from the sale of our Class A ordinary shares by the selling shareholders.</w:t>
      </w:r>
    </w:p>
    <w:p>
      <w:pPr>
        <w:spacing w:after="0" w:line="318"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We will provide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33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they hold to purchase additional securities will be described in the applicable prospectus supplement. For a more complete description of the plan of distribution of these securities, see the section entitled “Plan of Distribution” beginning on page 40 of this prospectus.</w:t>
      </w:r>
    </w:p>
    <w:p>
      <w:pPr>
        <w:spacing w:after="0" w:line="11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The ADSs are listed on the New York Stock Exchange under the symbol “NIO.” On May 20, 2024, the last reported sale price of the ADSs on the New York Stock Exchange was US$5.22 per ADS. Our Class A ordinary shares are listed on The Stock Exchange of Hong Kong Limited, or the Hong Kong Stock Exchange, under the stock code “9866.” On May 20, 2024, the last reported trading price of the Class A ordinary shares on the Hong Kong Stock Exchange was HK$39.85 per share, or US$5.10 per ADS based on an exchange rate of HK$7.8109 to US$1.00 as of December 29, 2023. Our Class A ordinary shares are listed on The Singapore Exchange Securities Trading Limited, or the Singapore Exchange, under the symbol “NIO.” On May 20, 2024, the last reported trading price of the Class A ordinary shares on the Singapore Exchange was US$5.16 per share, or US$5.16 per ADS.</w:t>
      </w:r>
    </w:p>
    <w:p>
      <w:pPr>
        <w:spacing w:after="0" w:line="105" w:lineRule="exact"/>
        <w:rPr>
          <w:sz w:val="20"/>
          <w:szCs w:val="20"/>
          <w:color w:val="auto"/>
        </w:rPr>
      </w:pPr>
    </w:p>
    <w:p>
      <w:pPr>
        <w:jc w:val="both"/>
        <w:ind w:left="1260" w:right="419" w:firstLine="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Investing in our securities involves a high degree of risk. You should carefully consider the “Risk Factors” which may be included in any prospectus supplement or are incorporated by reference into this prospectus.</w:t>
      </w:r>
    </w:p>
    <w:p>
      <w:pPr>
        <w:spacing w:after="0" w:line="66" w:lineRule="exact"/>
        <w:rPr>
          <w:sz w:val="20"/>
          <w:szCs w:val="20"/>
          <w:color w:val="auto"/>
        </w:rPr>
      </w:pPr>
    </w:p>
    <w:p>
      <w:pPr>
        <w:jc w:val="both"/>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This prospectus may not be used to offer or sell any securities unless accompanied by a prospectus supplement.</w:t>
      </w:r>
    </w:p>
    <w:p>
      <w:pPr>
        <w:spacing w:after="0" w:line="89"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The date of this prospectus is May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OUR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AMERICAN DEPOSITARY 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ENFORCEABILITY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CIVIL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SELLING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w:t>
      </w:r>
    </w:p>
    <w:p>
      <w:pPr>
        <w:sectPr>
          <w:pgSz w:w="11900" w:h="16838" w:orient="portrait"/>
          <w:cols w:equalWidth="0" w:num="2">
            <w:col w:w="8400" w:space="720"/>
            <w:col w:w="75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or the SEC, as a “well-known seasoned issuer” as defined in Rule 405 under the Securities Act of 1933, as amended, or the Securities Act. By using an automatic shelf registration statement, we or a selling shareholder may, at any time and from time to time, offer and sell the securities described in this prospectus in one or more offerings. We may also add, update or change information contained in this prospectus by means of a prospectus supplement or by incorporating by reference information that we file with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33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 In this prospectus, unless otherwise indicated or unless the context otherwise requires:</w:t>
      </w:r>
    </w:p>
    <w:p>
      <w:pPr>
        <w:spacing w:after="0" w:line="79" w:lineRule="exact"/>
        <w:rPr>
          <w:sz w:val="20"/>
          <w:szCs w:val="20"/>
          <w:color w:val="auto"/>
        </w:rPr>
      </w:pPr>
    </w:p>
    <w:p>
      <w:pPr>
        <w:jc w:val="both"/>
        <w:ind w:left="1800" w:right="4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“we,” “us,” “our company,” “our” and “NIO” refer to NIO Inc., our Cayman Islands holding company and its subsidiaries, its consolidated variable interest entities and the subsidiaries of the consolidated variable interest entities;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“ordinary shares” refer to our Class A ordinary shares and Class C ordinary shares, each of par value US$0.00025 per share, “Class A ordinary shares” refers to our Class A ordinary shares, par value US$0.00025 per share, and “Class C ordinary shares” refers to our Class C ordinary shares, par value US$0.00025 per share;</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one Class A ordinary share;</w:t>
      </w:r>
    </w:p>
    <w:p>
      <w:pPr>
        <w:spacing w:after="0" w:line="31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 excluding, for the purpose of this registration statement only, Hong Kong, Macau and Taiwan;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“U.S. dollars” and “US$” are to the legal currency of the United States, all references to “HK$” are to the legal currency of Hong Kong, and all references to “S$” are to the legal currency of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contain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“aim,” “intend,” “plan,” “believe,” “estimate,” “is/are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 our goals and growth strategies, our future business development, financial condition and results of operations, our expectations regarding demand for and market acceptance of our products and services, and assumptions underlying or related to any of the foregoing.</w:t>
      </w:r>
    </w:p>
    <w:p>
      <w:pPr>
        <w:spacing w:after="0" w:line="12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Although we believe that our expectations expressed in the forward-looking statements included in this prospectus, any prospectus supplement and the documents incorporated by reference are reasonable, our expectations may later be found to be incorrect. Our actual results could be materially different from our expectations. These forward-looking statements are subject to risks, uncertainties and assumptions about our company. Our actual results of operations may differ materially from the forward-looking statements as a result of the risk factors disclosed in the documents incorporated by reference herein or in any accompanying prospectus supplement.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thoroughly read this prospectus, any prospectus supplement and the documents incorporated by reference with the understanding that our actual future results may be materially different from, or worse than, what we expect. We qualify all of our forward-looking statements by these cautionary statements.</w:t>
      </w:r>
    </w:p>
    <w:p>
      <w:pPr>
        <w:spacing w:after="0" w:line="33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the documents incorporated by reference herein or in any accompanying prospectus supplement for a more complete discussion of the risks of an investment in our securities and other risks outlined in our other filings with the SEC. The forward-looking statements included in this prospectus or incorporated by reference into this prospectus are made only as of the date of this prospectus or the date of the incorporated document, and we do not undertake any obligation to update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08"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 xml:space="preserve">Our Chinese name, Weilai ( </w:t>
      </w:r>
      <w:r>
        <w:rPr>
          <w:sz w:val="1"/>
          <w:szCs w:val="1"/>
          <w:color w:val="auto"/>
        </w:rPr>
        <w:drawing>
          <wp:inline distT="0" distB="0" distL="0" distR="0">
            <wp:extent cx="231140" cy="11112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31140" cy="111125"/>
                    </a:xfrm>
                    <a:prstGeom prst="rect">
                      <a:avLst/>
                    </a:prstGeom>
                    <a:noFill/>
                    <a:ln>
                      <a:noFill/>
                    </a:ln>
                  </pic:spPr>
                </pic:pic>
              </a:graphicData>
            </a:graphic>
          </wp:inline>
        </w:drawing>
      </w:r>
      <w:r>
        <w:rPr>
          <w:rFonts w:ascii="Times New Roman" w:cs="Times New Roman" w:eastAsia="Times New Roman" w:hAnsi="Times New Roman"/>
          <w:sz w:val="18"/>
          <w:szCs w:val="18"/>
          <w:color w:val="auto"/>
        </w:rPr>
        <w:t>), which means Blue Sky Coming, reflects our commitment to a more environmentally friendly future.</w:t>
      </w:r>
    </w:p>
    <w:p>
      <w:pPr>
        <w:spacing w:after="0" w:line="10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are a pioneer and a leading company in the premium smart electric vehicle market. We design, develop, manufacture, and sell premium smart electric vehicles, driving innovations in next-generation technologies in assisted and intelligent driving, digital technologies, electric powertrains and batteries. We differentiate ourselves through our continuous technological breakthroughs and innovations, such as our industry-leading battery swapping technologies, Battery as a Service, or BaaS, as well as our proprietary NIO assisted and intelligent driving and its subscription services.</w:t>
      </w:r>
    </w:p>
    <w:p>
      <w:pPr>
        <w:spacing w:after="0" w:line="11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introduced the EP9 supercar in 2016, which was the then fastest electric vehicle, setting the Nürburgring Nordschleife all -electric vehicle lap record. Starting from December 2017, we launched a succession of well-positioned vehicle models and established a competitive product portfolio, including the ES8, a six-seater smart electric flagship SUV, the ES7 (or the EL7), a mid-large five-seater smart electric SUV, the ES6 (or the EL6), a five-seater all -round smart electric SUV, the EC7, a five-seater smart electric flagship coupe SUV, the EC6, a five-seater smart electric coupe SUV, the ET9, a smart electric executive flagship, the ET7, a smart electric flagship sedan, the ET5, a mid-size smart electric sedan, and the ET5T, a smart electric tourer.</w:t>
      </w:r>
    </w:p>
    <w:p>
      <w:pPr>
        <w:spacing w:after="0" w:line="32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2023, we completed our product lineup on the NIO Technology 2.0 (NT2.0) by starting deliveries of the EC7, All-New ES6, All-New ES8, ET5T, and All-New EC6. With enhanced driving and riding experiences with exquisite design, high performance, superior comfort, and advanced digital systems, our product portfolio caters to wide-ranging journeys of users for their family, business and leisure needs. In December 2023, we launched the ET9, a smart electric executive flagship. The ET9 embodies our latest advancements in technological research and development, presenting a combination of flagship-style exterior, innovative executive space, leading driving and riding experience, intelligent technologies, efficient power solutions, and comprehensive safety standards. We expect to start deliveries of the ET9 in the first quarter of 2025.</w:t>
      </w:r>
    </w:p>
    <w:p>
      <w:pPr>
        <w:spacing w:after="0" w:line="32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Inheriting our high -performance DNA marked by dual- motor intelligent All-Wheel-Drive system, all NIO models are able to achieve outstanding performances in 0-100 km/h and braking distance. Enabled by battery swapping technology, all our models are compatible with different battery packs including Standard Range Battery, Long Range Battery and Ultra-Long Range Battery, supporting different driving ranges and providing an upgradable and flexible user experience. We aim to deliver products with the highest safety and quality standards to our users in line with our core values and commitments.</w:t>
      </w:r>
    </w:p>
    <w:p>
      <w:pPr>
        <w:spacing w:after="0" w:line="11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believe our vehicles are well-positioned in the premium smart electric vehicle market. We delivered 160,038 vehicles, including 92,186 premium smart electric SUVs and 67,852 premium smart electric sedans in 2023. In 2024, we expect to launch a new brand and commence deliveries of its first product, complementing our product portfolio and contributing to our vehicle sales. We are also developing more products to expand our addressable market segments.</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Since our inception, we have remained committed to innovation and dedicated to investing in research and development of core technologies. Our technological breakthroughs and innovations differentiate us from our peers, creating better user experiences and enhancing our users’ confidence in us. We have strategically focused on building in- house capabilities including battery swapping, assisted and intelligent driving, digital technologies, electric powertrain and battery, vehicle engineering and design, among others, to control the design and development of the vehicle software and hardware architecture and the critical components that go into our products. Our capabilities have given us greater flexibility to continually improve our current products and allow us to launch new products. By integrating these industry-leading technologies, all of our vehicles can create a relaxing, interactive, intelligent and immersive experience for our users.</w:t>
      </w:r>
    </w:p>
    <w:p>
      <w:pPr>
        <w:spacing w:after="0" w:line="32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have strategically located our research and development offices in locations where we believe give us access to the best talent. Our global research and development center for production models is located in Shanghai. Our advanced vehicle manufacturing center is located in Hefei. Our global research and development center for software is located in Beijing. Our global research and development center for assisted and intelligent driving is located in San Jose. Our global design center is located in Munich. Our global research and development center for advanced engineering is located in Oxford.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All of our smart electric vehicles are equipped with proprietary battery swapping technologies, providing our users with a “chargeable, swappable, upgradable” experience. We also offer Battery as a Service, or BaaS, an industry-first innovative model which allows users to purchase electric vehicles and subscribe for the usage of batteries separately. BaaS enables our users to benefit from lower vehicle purchase prices, flexible battery upgrade options and assurance of battery performance.</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assisted and intelligent driving is the core of smart electric vehicles, and it has been our focus from day one. We are one of the first companies in China to offer enhanced ADAS capabilities and we have been dedicated to developing our proprietary full-stack assisted and intelligent driving capabilities.</w:t>
      </w:r>
    </w:p>
    <w:p>
      <w:pPr>
        <w:spacing w:after="0" w:line="10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NIO assisted and intelligent driving, or NAD, our full-stack in-house developed assisted and intelligent driving capabilities, is equipped with our proprietary perception algorithms, localization, control strategy and platform software. The technology comprises NIO Adam, a super computing platform with outstanding computing power, and NIO Aquila, a super sensing system equipped with high-performance sensors including LiDAR. With the gradual release of certain features of the NAD through Navigate on Pilot Plus, or NOP+, a driving assist feature based on NT2.0 to users, our generalization capability and collective intelligence capability have seen rapid growth. Currently, NOP+ has been made available for expressways, urban areas, parking and battery swapping and we expect to release it to all NT2.0 users in the future to deliver a safer and more relaxing assisted and intelligent driving experience for our users. Our NOP+ is available for user subscription.</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reach out to and engage with our users directly through our own offline and online platforms, including NIO Houses, NIO Spaces and NIO app, and aim to build a community where we share joy and grow together with our users. NIO app, our mobile application, is designed to serve as a comprehensive portal. It allows users to not only place orders for and configure all NIO vehicles, but also to access vehicle control, power and other service, as well as purchase NIO Life product. Most importantly, it functions as an online platform for our user community. NIO Houses and NIO Spaces serve as the offline channels for us to reach out to and serve our users, as well as the offline platforms for NIO user community. NIO Houses have showroom functions while serving as a clubhouse for our users and their friends. NIO Spaces are mainly showrooms for our brand, vehicles and services. Compared with NIO Houses, NIO Spaces are generally smaller in scale, more delicate and sales-focused.</w:t>
      </w:r>
    </w:p>
    <w:p>
      <w:pPr>
        <w:spacing w:after="0" w:line="11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offer a comprehensive and innovative suite of power solutions to address the charging and swapping needs of our users. Our power solutions include home charger called Power Home, battery swapping called Power Swap, supercharging piles called Power Charger, destination charging piles called Destination Charger, and mobile charging called Power Mobile, all of which are connected to cloud-enabled Power Cloud, which synchronizes users’ power consumption information and our power network, and intelligently suggests the appropriate services, according to the users’ locations and power consumption patterns. Our users not only get to check the availability of charging and swapping resources of NIO’s own network, but also have access to a network of public chargers and their real-time information through the Power Map on our NIO app. In addition, we offer our users our One Click for Power valet service where we pick up, charge and then return the vehicle. Our goal is to provide the most convenient power solutions to our users.</w:t>
      </w:r>
    </w:p>
    <w:p>
      <w:pPr>
        <w:spacing w:after="0" w:line="343"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Our users can access a full suite of innovative services on our NIO app, as part of our strategy of redefining the user experience. NIO Service, our one-stop service ecosystem marked by the innovative worry-free service plan, provides NIO users with a holistic end-to-end service experience. We believe our service capability is among the core competitiveness we possess.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more information about our company, please see “Item 4. Information on the Company” in our</w:t>
      </w:r>
    </w:p>
    <w:p>
      <w:pPr>
        <w:spacing w:after="0" w:line="27" w:lineRule="exact"/>
        <w:rPr>
          <w:sz w:val="20"/>
          <w:szCs w:val="20"/>
          <w:color w:val="auto"/>
        </w:rPr>
      </w:pPr>
    </w:p>
    <w:p>
      <w:pPr>
        <w:jc w:val="both"/>
        <w:ind w:left="1260" w:right="419"/>
        <w:spacing w:after="0" w:line="255" w:lineRule="auto"/>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u w:val="single" w:color="auto"/>
            <w:color w:val="0000EE"/>
          </w:rPr>
          <w:t>annual report on Form 20-F for the year ended December 31,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is incorporated in this prospectus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and any accompanying prospectus supplement before investing in any securities that may be offered pursuant to this prospectus.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Building 19, No. 1355, Caobao Road, Minhang District, Shanghai, PRC. Our telephone number at this address is +86-21-6908-2018. Our registered office in the Cayman Islands is located at the offices of Maples Corporate Services Limited, PO Box 309, Ugland House,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Grand Cayman, KY1-1104, Cayman Islands. Our agent for service of process in the United States is Cogency Global Inc., located at 122 East 42nd Street, 18th Floor, New York, NY 10168.</w:t>
      </w:r>
    </w:p>
    <w:p>
      <w:pPr>
        <w:spacing w:after="0" w:line="9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All information that we file with or furnish to the SEC can be obtained over the internet on the SEC’s website at www.sec.gov. We also maintain a website at ir.nio.com, but information contained on, or linked from, our website is not incorporated by reference in this prospectus supplement or the accompanying prospectus. You should not regard any information on our website as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1260" w:right="419" w:firstLine="360"/>
        <w:spacing w:after="0" w:line="261" w:lineRule="auto"/>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auto"/>
          </w:rPr>
          <w:t xml:space="preserve">Please see the factors set forth in “Item 3. Key Information — D. Risk Factors” in our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EE"/>
          </w:rPr>
          <w:t>Form 20-F for the year ended December 31, 2023</w:t>
        </w:r>
        <w:r>
          <w:rPr>
            <w:rFonts w:ascii="Times New Roman" w:cs="Times New Roman" w:eastAsia="Times New Roman" w:hAnsi="Times New Roman"/>
            <w:sz w:val="18"/>
            <w:szCs w:val="18"/>
            <w:color w:val="000000"/>
          </w:rPr>
          <w:t>, which is incorporated in this prospectus by reference, as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updated by our subsequent filings under the Exchange Act, and in any accompanying prospectus supplement before investing in any securities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we offer as set forth in the applicable prospectus supplement(s).</w:t>
      </w:r>
    </w:p>
    <w:p>
      <w:pPr>
        <w:spacing w:after="0" w:line="9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specific allocations of the proceeds we receive from the sale of our securities will be described in the applicable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and our affairs are governed by our current thirteenth amended and restated memorandum and articles of association, the Companies Act (As Revised) of the Cayman Islands, which we refer to as the Companies Act below, and the common law of the Cayman Islands.</w:t>
      </w:r>
    </w:p>
    <w:p>
      <w:pPr>
        <w:spacing w:after="0" w:line="11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As of April 30, 2024, our authorized share capital was US$1,000,000 divided into 4,000,000,000 shares comprising of (i) 2,632,030,222 Class A ordinary shares of a par value of US$0.00025 each, 1,938,669,026 of which were issued and outstanding, (ii) 148,500,000 Class C ordinary shares of a par value of US$0.00025 each, all of which were issued and outstanding, and (iii) 1,219,469,778 shares of a par value of US$0.00025 each of such class or classes (however designated) as our board of directors may determine in accordance with our thirteenth amended and restated memorandum and articles of association, none of which was issued and outstanding.</w:t>
      </w:r>
    </w:p>
    <w:p>
      <w:pPr>
        <w:spacing w:after="0" w:line="114" w:lineRule="exact"/>
        <w:rPr>
          <w:sz w:val="20"/>
          <w:szCs w:val="20"/>
          <w:color w:val="auto"/>
        </w:rPr>
      </w:pPr>
    </w:p>
    <w:p>
      <w:pPr>
        <w:jc w:val="both"/>
        <w:ind w:left="1260" w:right="419" w:firstLine="360"/>
        <w:spacing w:after="0" w:line="24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following are summaries of material provisions of our thirteenth amended and restated memorandum and articles of association, which became effective upon the completion of the initial public offering of our ADSs in September 2018, and the Companies Act insofar as they relate to the material terms of our ordinary shares. Capitalized terms not otherwise defined herein shall have the meanings assigned thereto in the thirteenth amended and restated memorandum and articles of association. Notwithstanding this, because it is a summary, it may not contain all the information that you may otherwise deem important. For more complete information, you should read our entire thirteenth amended and restated memorandum </w:t>
      </w:r>
      <w:hyperlink r:id="rId12">
        <w:r>
          <w:rPr>
            <w:rFonts w:ascii="Times New Roman" w:cs="Times New Roman" w:eastAsia="Times New Roman" w:hAnsi="Times New Roman"/>
            <w:sz w:val="18"/>
            <w:szCs w:val="18"/>
            <w:color w:val="auto"/>
          </w:rPr>
          <w:t xml:space="preserve">and articles of association, which was filed as an exhibit to our </w:t>
        </w:r>
        <w:r>
          <w:rPr>
            <w:rFonts w:ascii="Times New Roman" w:cs="Times New Roman" w:eastAsia="Times New Roman" w:hAnsi="Times New Roman"/>
            <w:sz w:val="18"/>
            <w:szCs w:val="18"/>
            <w:u w:val="single" w:color="auto"/>
            <w:color w:val="0000EE"/>
          </w:rPr>
          <w:t>annual report on Form 20-F for the year</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00"/>
          </w:rPr>
          <w:t>, which is incorporated in this prospectus by reference. For information on how to</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obtain copies of our thirteenth amended and restated memorandum and articles of association, see “Where You Can Find More Information About Us.”</w:t>
      </w:r>
    </w:p>
    <w:p>
      <w:pPr>
        <w:spacing w:after="0" w:line="200" w:lineRule="exact"/>
        <w:rPr>
          <w:sz w:val="20"/>
          <w:szCs w:val="20"/>
          <w:color w:val="auto"/>
        </w:rPr>
      </w:pP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46"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Our ordinary shares are divided into Class A ordinary shares and Class C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Class A ordinary shares and Class C ordinary shares shall at all times vote together as one class on all resolutions submitted to a vote by the holders of ordinary shares. Each Class A ordinary share shall entitle the holder thereof to one vote on all matters subject to vote at general meetings of our company, and each Class C ordinary share shall entitle the holder thereof to eight votes on all matters subject to vote at general meetings of our company. During the Relevant Period, our company shall have only one class of shares that each of such share entitles the holder thereof to more than one vote on all matters subject to vote at general meetings of our company, which is Class C ordinary shares.</w:t>
      </w:r>
    </w:p>
    <w:p>
      <w:pPr>
        <w:spacing w:after="0" w:line="11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Class C ordinary share is convertible into one Class A ordinary share at any time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the holder thereof. In no event shall Class A ordinary shares be convertible into Class C ordinary shares. Upon any sale, transfer, assignment or disposition of any Class C ordinary share by a shareholder to any person who is not an existing shareholder of Class C ordinary share and any affiliate of such shareholder or NIO Users Trust, or upon a change of ultimate beneficial ownership of any Class C ordinary share to any person who is not an existing shareholder of Class C ordinary shares and any affiliate of such shareholder or NIO Users Trust, each such Class C ordinary share shall be automatically and immediately converted into one Class A ordinary share.</w:t>
      </w:r>
    </w:p>
    <w:p>
      <w:pPr>
        <w:spacing w:after="0" w:line="11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subject to our thirteenth amended and restated memorandum articles of association. In addition, our shareholders may by ordinary resolution declare a dividend, but no dividend may exceed the amount recommended by our directors. In either case,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15"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Voting at any shareholders’ meeting is by show of hands unless a poll is demanded.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Class A ordinary share shall entitle the holder thereof to one vote on all matters subject to vote at general meetings of our company, and each Class C ordinary share shall entitle the holder thereof to eight votes on 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matters subject to vote at general meetings of our company. A poll may be demanded by the chairman of such meeting or any one or more shareholders present in person or by proxy at the meeting. However, during the Relevant Period, each Class A ordinary share and each Class C ordinary share shall entitle its holder to one vote on a poll at a general meeting in respect of a resolution on any of the following matters:</w:t>
      </w:r>
    </w:p>
    <w:p>
      <w:pPr>
        <w:spacing w:after="0" w:line="3" w:lineRule="exact"/>
        <w:rPr>
          <w:sz w:val="20"/>
          <w:szCs w:val="20"/>
          <w:color w:val="auto"/>
        </w:rPr>
      </w:pPr>
    </w:p>
    <w:p>
      <w:pPr>
        <w:jc w:val="both"/>
        <w:ind w:left="1260" w:right="419"/>
        <w:spacing w:after="0" w:line="243" w:lineRule="auto"/>
        <w:tabs>
          <w:tab w:leader="none" w:pos="15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our memorandum or articles of association, including the variation of the rights attached to any class of shares; (ii) the appointment, election or removal of any independent non-executive director; (iii) the appointment or removal of the auditors; or (iv) the voluntary liquidation or winding-up of our company.</w:t>
      </w:r>
    </w:p>
    <w:p>
      <w:pPr>
        <w:spacing w:after="0" w:line="325"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three-fourths of the votes cast attaching to the outstanding ordinary shares at a meeting. A special resolution will be required for important matters such as a change of name or making changes to our thirteenth amended and restated memorandum and articles of association.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thirteenth amended and restated memorandum and articles of association, and cancelling any unissued shares. Both ordinary resolution and special resolution may also be passed by a unanimous written resolution signed by all the shareholders of our company, as permitted by the Companies Act and our thirteenth amended and restated memorandum and articles of association.</w:t>
      </w:r>
    </w:p>
    <w:p>
      <w:pPr>
        <w:spacing w:after="0" w:line="12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Appointment and Removal of Directors</w:t>
      </w:r>
      <w:r>
        <w:rPr>
          <w:rFonts w:ascii="Times New Roman" w:cs="Times New Roman" w:eastAsia="Times New Roman" w:hAnsi="Times New Roman"/>
          <w:sz w:val="18"/>
          <w:szCs w:val="18"/>
          <w:color w:val="auto"/>
        </w:rPr>
        <w:t>. Our board of directors may, by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simple majority of the directors present and voting at a board meeting, (i) appoint any person as a director, to fill a casual vacancy on the board or, (ii) subject to the maximum size of the board of directors being nine directors, appoint any person as an addition to the existing board. Directors may be removed by ordinary resolution of our shareholders. Subject to the relevant code, rules and regulations applicable to us as a result of our listing in the United States applicable to the composition of the board and qualifications and appointment of directors, (i) NIO Users Trust shall be entitled to nominate one director to the board; and</w:t>
      </w:r>
    </w:p>
    <w:p>
      <w:pPr>
        <w:spacing w:after="0" w:line="6" w:lineRule="exact"/>
        <w:rPr>
          <w:sz w:val="20"/>
          <w:szCs w:val="20"/>
          <w:color w:val="auto"/>
        </w:rPr>
      </w:pPr>
    </w:p>
    <w:p>
      <w:pPr>
        <w:jc w:val="both"/>
        <w:ind w:left="1260" w:right="419"/>
        <w:spacing w:after="0" w:line="241" w:lineRule="auto"/>
        <w:tabs>
          <w:tab w:leader="none" w:pos="15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Mr. Bin Li is not an incumbent director and the board is composed of no less than six directors, NIO Users Trust shall be entitled to nominate one extra director to the Board. Such director nomination right of NIO Users Trust were ceased to be effective at the First AGM, and shall only be restored when our company is no longer listed on the Hong Kong Stock Exchange. In addition, for so long as CYVN Investments and its affiliates beneficially own no less than 15% of our total issued and outstanding share capital, CYVN Investments is entitled to nominate two directors; if the beneficial ownership of CYVN Investments and its affiliates decreases to less than 15% but remains above 5%, CYVN Investments retains the right to nominate one director. The foregoing director nomination rights of CYVN Investments are subject to compliance with our articles and the requirements of relevant stock exchanges.</w:t>
      </w:r>
    </w:p>
    <w:p>
      <w:pPr>
        <w:spacing w:after="0" w:line="11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 to call shareholders’ annual general meetings. However, our thirteenth amended and restated memorandum and articles of association provide that we shall in each financial year hold a general meeting as our annual general meeting in addition to any other meeting in that year and shall specify the meeting as such in the notice calling it, and the annual general meeting shall be held at such time and place as may be determined by our directors.</w:t>
      </w:r>
    </w:p>
    <w:p>
      <w:pPr>
        <w:spacing w:after="0" w:line="11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board of directors or a majority of our board of directors. Advance notice of at least twenty one calendar days is required for the convening of our annual general shareholders’ meeting (if any) and advance notice of at least fourteen calendar days is required for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thirteenth amended and restated memorandum and articles of association provide that upon the requisition of shareholders representing in aggregate not less than one-tenth of all votes (on a one vote per share basis) attaching to the outstanding shares of our company entitled to vote at general meetings, our board will convene an extraordinary general</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meeting and put the resolutions so requisitioned to a vote at such meeting, and such shareholders may add resolutions to the meeting agenda.</w:t>
      </w:r>
    </w:p>
    <w:p>
      <w:pPr>
        <w:spacing w:after="0" w:line="79"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in our thirteenth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set out below, any of our shareholders may transfer all or any of his or her ordinary shares by an instrument of transfer in the usual or common form or any other form approved by our board of directors.</w:t>
      </w:r>
    </w:p>
    <w:p>
      <w:pPr>
        <w:spacing w:after="0" w:line="10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9" w:lineRule="exact"/>
        <w:rPr>
          <w:sz w:val="20"/>
          <w:szCs w:val="20"/>
          <w:color w:val="auto"/>
        </w:rPr>
      </w:pPr>
    </w:p>
    <w:p>
      <w:pPr>
        <w:jc w:val="both"/>
        <w:ind w:left="1800" w:right="4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New York Stock Exchange or the Hong Kong Stock Exchange may determine to be payable or such lesser sum as our directors may from time to time require is paid to us in respect thereof.</w:t>
      </w:r>
    </w:p>
    <w:p>
      <w:pPr>
        <w:spacing w:after="0" w:line="10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30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by the New York Stock Exchange or the Hong Kong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of directors may determine.</w:t>
      </w:r>
    </w:p>
    <w:p>
      <w:pPr>
        <w:spacing w:after="0" w:line="10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winding-up of our company, if the assets available for distribution among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shall be more than sufficient to repay the whole of the share capital at the commencement of the winding-up,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322"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06"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 We may issue shares on terms that such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redemption, at our option or at the option of the holders of these shares, on such terms and in such manner as may be determined by our board of directors or by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would result in there being no shares outstanding or (c) if the company has commenced liquidation. In addition, our company may accept the surrender of any fully paid share for no consideration.</w:t>
      </w:r>
    </w:p>
    <w:p>
      <w:pPr>
        <w:spacing w:after="0" w:line="79"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 rights attached to any class of shares (unless otherwise provided by the terms of issue of the shares of that class), may only be varied with the consent in writing of holders of not less than three-fourths of the issued shares of that class or with the sanction of a special resolution passed at a separate meeting of the holders of the shares of that class by holders of not less than three-fourths of the issued shares of that class present in person or by proxy and voting at such meeting. The rights conferred upon the holders of the shares of any class issued shall not, subject to any rights or restrictions for the time being attached to the shares of that class, be deemed to be varied by, inter alia, the creation, allotment or issue of further shares ranking pari passu with such existing class of shares.</w:t>
      </w:r>
    </w:p>
    <w:p>
      <w:pPr>
        <w:spacing w:after="0" w:line="120"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thirteenth amended and restated memorandum of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authorizes our board of directors to issue additional ordinary shares from time to time as our board of directors shall determine, to the extent of available authorized but unissued shares.</w:t>
      </w:r>
    </w:p>
    <w:p>
      <w:pPr>
        <w:spacing w:after="0" w:line="101"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Our thirteenth amended and restated memorandum of association also authorizes our board of directors, at any time after the Relevant Period, to establish from time to time one or more series of preference shares and to determine, with respect to any series of preference shares, the terms and rights of that series, including:</w:t>
      </w:r>
    </w:p>
    <w:p>
      <w:pPr>
        <w:spacing w:after="0" w:line="282"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and voting rights;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4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At any time after the Relevant Period, our board of directors may issue preference shares without action by our shareholders to the extent authorized but unissued. Issuance of these shares may dilute the voting power of holders of ordinary shares.</w:t>
      </w:r>
    </w:p>
    <w:p>
      <w:pPr>
        <w:spacing w:after="0" w:line="100"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law to inspect or obtain copies of our list of shareholders or our corporate records. (except for our memorandum and articles of association and our register of mortgages and charges) except as conferred by law or authorized by the directors or by ordinary resolution. However, we will provide our shareholders with annual audited financial statements. See “Where You Can Find More Information About Us.”</w:t>
      </w:r>
    </w:p>
    <w:p>
      <w:pPr>
        <w:spacing w:after="0" w:line="321" w:lineRule="exact"/>
        <w:rPr>
          <w:sz w:val="20"/>
          <w:szCs w:val="20"/>
          <w:color w:val="auto"/>
        </w:rPr>
      </w:pPr>
    </w:p>
    <w:p>
      <w:pPr>
        <w:jc w:val="center"/>
        <w:ind w:right="159"/>
        <w:spacing w:after="0"/>
        <w:tabs>
          <w:tab w:leader="none" w:pos="140" w:val="left"/>
        </w:tabs>
        <w:rPr>
          <w:sz w:val="20"/>
          <w:szCs w:val="20"/>
          <w:color w:val="auto"/>
        </w:rPr>
      </w:pPr>
      <w:r>
        <w:rPr>
          <w:rFonts w:ascii="Times New Roman" w:cs="Times New Roman" w:eastAsia="Times New Roman" w:hAnsi="Times New Roman"/>
          <w:sz w:val="18"/>
          <w:szCs w:val="18"/>
          <w:i w:val="1"/>
          <w:iCs w:val="1"/>
          <w:color w:val="auto"/>
        </w:rPr>
        <w:t>Changes in Capital</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shareholders may from time to time by ordinary resolution:</w:t>
      </w:r>
    </w:p>
    <w:p>
      <w:pPr>
        <w:spacing w:after="0" w:line="106" w:lineRule="exact"/>
        <w:rPr>
          <w:sz w:val="20"/>
          <w:szCs w:val="20"/>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such sum, to be divided into shares of such classes and amount, as the resolution shall prescribe;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our share capital by the amount of the shares so cancelled.</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spacing w:after="0" w:line="100"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thirteenth amended and restated memorandum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of association may discourage, delay or prevent a change of control of our company or management that shareholders may consider favorable, including provisions that:</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Relevant Period, 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Relevant Period, limit the ability of shareholders to requisition and convene general meetings of shareholders.</w:t>
      </w:r>
    </w:p>
    <w:p>
      <w:pPr>
        <w:spacing w:after="0" w:line="9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thirteenth amended and restated memorandum and articles of association for a proper purpose and for what they believe in good faith to be in the best interests of our company.</w:t>
      </w:r>
    </w:p>
    <w:p>
      <w:pPr>
        <w:spacing w:after="0" w:line="107"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Companies Act distinguishes between ordinary resident companies, ordinary non-resident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resident/non-resident company except that an exempted company:</w:t>
      </w:r>
    </w:p>
    <w:p>
      <w:pPr>
        <w:spacing w:after="0" w:line="74" w:lineRule="exact"/>
        <w:rPr>
          <w:sz w:val="20"/>
          <w:szCs w:val="20"/>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detailing its shareholders with the Registrar of Companies of the Cayman Islands;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Maples Corporate Services Limited, PO Box 309, Ugland House, Grand Cayman, KY1-1104, Cayman Islands, or at such other location within the Cayman Islands as our directors may from time to time decide. Under our thirteenth amended and restated memorandum and articles of association, the objects of our company are unrestricted and we have the full power and authority to carry out any object not prohibited by the law of the Cayman Islands.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United Kingdom statutory enactments, and accordingly there are significant differences between the Companies Act and the current Companies Act of England.</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the Companies Act differs from laws applicable to United States corporations and their shareholders. Set forth below is a summary of certain significant differences between the provisions of the Companies Act applicable to us and the laws applicable to companies incorporated in the State of Delaware.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0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1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95"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287"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 month period commencing on the expiration of such four-month period, require the holders of the remaining shares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79"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acts or proposes to act illegally or ultra vires;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against the minority where the wrongdoers are themselves in control of the company.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4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thirteenth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2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thirteenth amended and restated memorandum and articles of association.</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03" w:lineRule="exact"/>
        <w:rPr>
          <w:sz w:val="20"/>
          <w:szCs w:val="20"/>
          <w:color w:val="auto"/>
        </w:rPr>
      </w:pPr>
    </w:p>
    <w:p>
      <w:pPr>
        <w:jc w:val="both"/>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03"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55"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thirteenth amended and restated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Companies Act does not provide shareholders with an express right to put forth any proposal before a general meeting of the shareholders. However, the Companies Act may provide shareholders with limited rights to requisition a general meeting but such rights must be stipulated in the articles of association of the company.</w:t>
      </w:r>
    </w:p>
    <w:p>
      <w:pPr>
        <w:spacing w:after="0" w:line="323"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Any one or more shareholders holding not less than one-tenth of the voting rights on a one vote per share basis, in the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our thirteenth amended and restated memorandum and articles of association do not provide for cumulative voting. As a result, our shareholders are not afforded any less protections or rights on this issue than shareholders of a Delaware corporation.</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thirteenth amended and restated memorandum and articles of association, directors may be removed with or without cause, by an ordinary resolution of our shareholders. A director will also cease to be a director if he or she (i) becomes bankrupt or makes any arrangement or composition with his or her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thirteenth amended and restated articles of association.</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4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2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2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95" w:lineRule="exact"/>
        <w:rPr>
          <w:sz w:val="20"/>
          <w:szCs w:val="20"/>
          <w:color w:val="auto"/>
        </w:rPr>
      </w:pPr>
    </w:p>
    <w:p>
      <w:pPr>
        <w:ind w:left="1980" w:hanging="360"/>
        <w:spacing w:after="0"/>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5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81"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325"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thirteenth amended and restated memorandum and articles of association, if our share capital is divided into more than one class of shares, we may vary the rights attached to any class with the sanction of a special resolution passed by a majority of not less than three-fourths of the votes cast at a separate meeting of the holders of the shares of that class.</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Under Cayman Islands law, our thirteenth amended and restated memorandum and articles of association may only be amended with a special resolution of our shareholders.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48"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There are no limitations imposed by our thirteenth amended and restated memorandum and articles of association on the rights of non-resident or foreign shareholders to hold or exercise voting rights on our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addition, there are no provisions in our thirteenth amended and restated memorandum and articles of association governing the ownership threshold above which shareholder ownership must be disclosed.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31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However, we intend to provide our shareholders with annual reports containing audited financial statements.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summary of securities issuances by us in the past three years.</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From September 7 to November 19, 2021, we completed an at-the-market offering of ADSs, each representing one Class A ordinary share. Through this at-the-market offering, we sold 53,292,401 ADSs and raised gross proceeds of US$2 billion, before deducting commissions paid to the distribution agents of approximately US$26 million and certain offering expenses.</w:t>
      </w:r>
    </w:p>
    <w:p>
      <w:pPr>
        <w:spacing w:after="0" w:line="11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August 23, 2022, Huang River Investment Limited converted the senior convertible notes issued by us on September 5, 2019 into 8,805,770 Class A ordinary shares of our company.</w:t>
      </w:r>
    </w:p>
    <w:p>
      <w:pPr>
        <w:spacing w:after="0" w:line="8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From May 2021 to December 2021, we issued 316,979 Class A ordinary shares in the form of ADSs to the holders of our 4.50% convertible senior notes due 2024, or the 2024 Notes, upon conversion of the 2024 Notes.</w:t>
      </w:r>
    </w:p>
    <w:p>
      <w:pPr>
        <w:spacing w:after="0" w:line="31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November 4, 2022, we issued 18,000,000 Class A ordinary shares to Deutsche Bank Trust Company Americas, our depository bank, for bulk issuance of ADSs reserved for future issuance upon exercise or vesting of awards granted under our share incentive plans.</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From January 2022 to March 2022, we issued 172,421 Class A ordinary shares in the form of ADSs to the holders of the 2024 Notes upon conversion of the 2024 Notes.</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July 12, 2023, we issued 84,695,543 Class A ordinary shares to CYVN Investments RSC Ltd, or CYVN Investments, at a per share purchase price of US$8.72 to close the US$738.5 million strategic equity investment from CYVN Investments.</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December 27, 2023, we issued 294,000,000 Class A ordinary shares at a per share purchase price of US$7.50 to close the additional US$2.2 billion strategic equity investment from CYVN Investments.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September and October 2023, we issued US$ 575 million aggregate principal amount of 3.875% convertible senior notes due 2029, or the 2029 Notes, and US$575 million aggregate principal amount of 4.625% convertible senior notes due 2030, or the 2030 Notes. The 2029 Notes and the 2030 Notes are unsecured debt. The 2029 Notes will bear interest at a rate of 3.875% per year, and the 2030 Notes will bear interest at a rate of 4.625% per year. The 2029 Notes will mature on October 15, 2029 and the 2030 Notes will mature on October 15, 2030, unless repurchased, redeemed or converted in accordance with their terms prior to such date.</w:t>
      </w:r>
    </w:p>
    <w:p>
      <w:pPr>
        <w:spacing w:after="0" w:line="3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Option and Restricted Share Grants</w:t>
      </w:r>
    </w:p>
    <w:p>
      <w:pPr>
        <w:spacing w:after="0" w:line="16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have granted options, restricted shares and other awards to purchase our ordinary shares to certain of our directors, executive officers, employees and consultants. See “Item 6. Directors, Senior Management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auto"/>
          </w:rPr>
          <w:t xml:space="preserve">Employees — B. Compensation of Directors and Executive Officers” in our </w:t>
        </w:r>
        <w:r>
          <w:rPr>
            <w:rFonts w:ascii="Times New Roman" w:cs="Times New Roman" w:eastAsia="Times New Roman" w:hAnsi="Times New Roman"/>
            <w:sz w:val="18"/>
            <w:szCs w:val="18"/>
            <w:u w:val="single" w:color="auto"/>
            <w:color w:val="0000EE"/>
          </w:rPr>
          <w:t>annual report on Form 20-F for</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EE"/>
          </w:rPr>
          <w:t>the year ended December 31, 2023</w:t>
        </w:r>
        <w:r>
          <w:rPr>
            <w:rFonts w:ascii="Times New Roman" w:cs="Times New Roman" w:eastAsia="Times New Roman" w:hAnsi="Times New Roman"/>
            <w:sz w:val="18"/>
            <w:szCs w:val="18"/>
            <w:color w:val="000000"/>
          </w:rPr>
          <w:t>, which is incorporated in this prospectus by reference.</w:t>
        </w:r>
      </w:hyperlink>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Pursuant to our shareholders agreement dated November 10, 2017, we have granted certain registration rights to our then shareholders. Set forth below is a description of the registration rights granted under the agreement.</w:t>
      </w:r>
    </w:p>
    <w:p>
      <w:pPr>
        <w:spacing w:after="0" w:line="107"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Holders holding 10% or more of the voting power of the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registrable securities held by all holders are entitled to request in writing that we effect a registration statement for any or all of registrable securities of the initiating holders. We have the right to defer filing of a registration statement for a period of not more than 90 days if our board of directors determines in the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 We are not obligated to effect more than two demand registrations. Further, if the registrable securities are offered by means of an underwritten offering, and the managing underwriter advises us that marketing factors require a limitation of the number of securities to be underwritten, the underwriters may decide to exclude up to 75% of the registrable securities requested to be registered but only after first excluding all other equity securities from the registration and underwritten offering,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33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Registration on Form F-3 or Form S-3</w:t>
      </w:r>
      <w:r>
        <w:rPr>
          <w:rFonts w:ascii="Times New Roman" w:cs="Times New Roman" w:eastAsia="Times New Roman" w:hAnsi="Times New Roman"/>
          <w:sz w:val="18"/>
          <w:szCs w:val="18"/>
          <w:color w:val="auto"/>
        </w:rPr>
        <w:t>. Any holder is entitled to request us to file a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on Form F-3 or Form S-3 if we qualify for registration on Form F-3 or Form S-3. The holders are entitled to an unlimited number of registrations on Form F-3 or Form S-3 so long as such registration offerings are in excess of US$5,000,000. We have the right to defer filing of a registration statement for a period of not more than 60 days if our board of directors determines in the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If we propose to register for our own account any of our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or for the account of any holder, other than current shareholders, of such equity securities, in connection with the public offering, we shall offer holders of our registrable securities an opportunity to be included in such registration. If the underwriters advise in writing that market factors require a limitation of the number of registrable securities to be underwritten, the underwriters may up to 75% of the registrable securities requested to be registered but only after first excluding all other equity securities (except for securities sold for the account of our company) from the registration and underwriting,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337"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will bear all registration expenses, other than the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applicable to the sale of registrable securities, incurred in connection with registrations, filings or qualification pursuant to the shareholders agreement.</w:t>
      </w:r>
    </w:p>
    <w:p>
      <w:pPr>
        <w:spacing w:after="0" w:line="92"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Termination of Obligations</w:t>
      </w:r>
      <w:r>
        <w:rPr>
          <w:rFonts w:ascii="Times New Roman" w:cs="Times New Roman" w:eastAsia="Times New Roman" w:hAnsi="Times New Roman"/>
          <w:sz w:val="18"/>
          <w:szCs w:val="18"/>
          <w:color w:val="auto"/>
        </w:rPr>
        <w:t>. We have no obligation to effect any demand, piggyback or Form F-3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S-3 registration upon the earlier of (i) the tenth anniversary from the date of closing of a Qualified IPO as defined in the shareholders agreement, and (ii) with respect to any holder, the date on which such holder may sell without registration, all of such holder’ registrable securities Rule 144 of the Securities Act in any 90-day period.</w:t>
      </w:r>
    </w:p>
    <w:p>
      <w:pPr>
        <w:spacing w:after="0" w:line="33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addition, on June 20, 2023, we entered into a registration rights agreement with CYVN Holdings L.L.C. On July 11, 2023, CYVN Holdings L.L.C. assigned all of its rights, interests and obligations under the registration rights agreement to its affiliate, CYVN Investments, which executed a counterpart to the registration rights agreement and agreed to be treated as an investor under the registration rights agreement. Pursuant to the registration rights agreement, subject to certain exceptions, we undertook the obligation to</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prepare and file with the SEC, upon the occurrence of certain triggering events, a registration statement for an offering to be made on a continuous basis pursuant to Rule 415 of the Securities Act, registering the resale from time to time by CYVN Investments of all of the registrable securities, which include all Class A ordinary shares purchased pursuant to the share subscription agreement, and the stock purchase agreement entered into by and among CYVN Holdings L.L.C. and Image Frame Investment (HK) Limited dated June 20, 2023, and any shares purchased by CYVN Investments following the closing of the share subscription agreement, then held by CYVN Investments that are not covered by an effective registration statement. If our board of directors determines in good faith that it would be materially detrimental to our company or our members to effect such a registration, we have the right to defer such registration, not more than once in any 12-month period, for a period of up to 60 days. Additionally, pursuant to the registration rights agreement, in the event that we propose to register any of our equity securities under the Securities Act for our own account or for the account of any holder of our equity securities, CYVN Investments is entitled to certain piggyback registration rights. These registration rights terminate on the date that CYVN Investments owns less than 3% of our Class A ordinary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Deutsche Bank Trust Company Americas, as depositary, will register and deliver the ADSs. Each ADS will represent ownership of one Class A ordinary share,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60 Wall Street, New York, NY 10005, USA. The principal executive office of the depositary is located at 60 Wall Street, New York, NY 10005, USA. The principal executive office of the depositary is located at 60 Wall Street, New York, NY 10005, USA.</w:t>
      </w:r>
    </w:p>
    <w:p>
      <w:pPr>
        <w:spacing w:after="0" w:line="11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323"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will not treat ADS holders as our shareholders and accordingly, you, as an ADS holder, will not have shareholder rights. Cayman Islands law governs shareholder rights. The depositary will be the holder of the ordinary shares underlying your ADSs. Holder of ADSs have ADS holder rights. A deposit agreement among us, the depositary and the holders, and the beneficial owners of ADSs sets out ADS holder rights as well as the rights and obligations of the depositary. The laws of the State of New York govern the deposit agreement and the ADSs. See “— Jurisdiction and Arbitration.”</w:t>
      </w:r>
    </w:p>
    <w:p>
      <w:pPr>
        <w:spacing w:after="0" w:line="120"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More Information About Us.”</w:t>
      </w:r>
    </w:p>
    <w:p>
      <w:pPr>
        <w:spacing w:after="0" w:line="3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Holding the ADSs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will you hold your ADSs?</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71" w:lineRule="exact"/>
        <w:rPr>
          <w:sz w:val="20"/>
          <w:szCs w:val="20"/>
          <w:color w:val="auto"/>
        </w:rPr>
      </w:pPr>
    </w:p>
    <w:p>
      <w:pPr>
        <w:jc w:val="both"/>
        <w:ind w:left="1800" w:right="419" w:hanging="180"/>
        <w:spacing w:after="0" w:line="255"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w:t>
      </w:r>
      <w:r>
        <w:rPr>
          <w:rFonts w:ascii="Times New Roman" w:cs="Times New Roman" w:eastAsia="Times New Roman" w:hAnsi="Times New Roman"/>
          <w:sz w:val="18"/>
          <w:szCs w:val="18"/>
          <w:color w:val="auto"/>
        </w:rPr>
        <w:t>The depositary will convert or cause to be converted any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we pay on the ordinary shares or any net proceeds from the sale of any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50" w:lineRule="auto"/>
        <w:rPr>
          <w:sz w:val="20"/>
          <w:szCs w:val="20"/>
          <w:color w:val="auto"/>
        </w:rPr>
      </w:pPr>
      <w:r>
        <w:rPr>
          <w:rFonts w:ascii="Times New Roman" w:cs="Times New Roman" w:eastAsia="Times New Roman" w:hAnsi="Times New Roman"/>
          <w:sz w:val="18"/>
          <w:szCs w:val="18"/>
          <w:color w:val="auto"/>
        </w:rPr>
        <w:t>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If the exchange rates fluctuate during a time when the depositary cannot convert the foreign currency, you may lose some or all of the value of the distribution.</w:t>
      </w:r>
    </w:p>
    <w:p>
      <w:pPr>
        <w:spacing w:after="0" w:line="65" w:lineRule="exact"/>
        <w:rPr>
          <w:sz w:val="20"/>
          <w:szCs w:val="20"/>
          <w:color w:val="auto"/>
        </w:rPr>
      </w:pPr>
    </w:p>
    <w:p>
      <w:pPr>
        <w:jc w:val="both"/>
        <w:ind w:left="1800" w:right="419" w:hanging="180"/>
        <w:spacing w:after="0" w:line="254"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Shares. </w:t>
      </w:r>
      <w:r>
        <w:rPr>
          <w:rFonts w:ascii="Times New Roman" w:cs="Times New Roman" w:eastAsia="Times New Roman" w:hAnsi="Times New Roman"/>
          <w:sz w:val="18"/>
          <w:szCs w:val="18"/>
          <w:color w:val="auto"/>
        </w:rPr>
        <w:t>For any ordinary shares we distribute as a dividend or free distribution, either (1)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distribute additional ADSs 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282"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Elective Distributions in Cash or Shares. </w:t>
      </w:r>
      <w:r>
        <w:rPr>
          <w:rFonts w:ascii="Times New Roman" w:cs="Times New Roman" w:eastAsia="Times New Roman" w:hAnsi="Times New Roman"/>
          <w:sz w:val="18"/>
          <w:szCs w:val="18"/>
          <w:color w:val="auto"/>
        </w:rPr>
        <w:t>If we offer holders of our ordinary shares the option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dividends in either cash 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295"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Rights to Purchase Additional Shares. </w:t>
      </w:r>
      <w:r>
        <w:rPr>
          <w:rFonts w:ascii="Times New Roman" w:cs="Times New Roman" w:eastAsia="Times New Roman" w:hAnsi="Times New Roman"/>
          <w:sz w:val="18"/>
          <w:szCs w:val="18"/>
          <w:color w:val="auto"/>
        </w:rPr>
        <w:t>If we offer holders of our ordinary shares any rights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subscribe for additional shares, the 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11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There can be no assurance that you will be given the opportunity to exercise rights on the same terms and conditions as the holders of ordinary shares or be able to exercise such rights.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800" w:right="419" w:hanging="180"/>
        <w:spacing w:after="0" w:line="254"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Distributions. </w:t>
      </w:r>
      <w:r>
        <w:rPr>
          <w:rFonts w:ascii="Times New Roman" w:cs="Times New Roman" w:eastAsia="Times New Roman" w:hAnsi="Times New Roman"/>
          <w:sz w:val="18"/>
          <w:szCs w:val="18"/>
          <w:color w:val="auto"/>
        </w:rPr>
        <w:t>Subject to receipt of timely notice, as described in the deposit agreement,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with the request to make any such 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1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3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cancel an American Depositary Share?</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Otherwise, you could exercise your right to vote directly if you withdraw the ordinary shares. However, you may not know about the meeting sufficiently enough in advance to withdraw the ordinary shares.</w:t>
      </w:r>
    </w:p>
    <w:p>
      <w:pPr>
        <w:spacing w:after="0" w:line="114"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If we ask for your instructions and upon timely notice from us by regular, ordinary mail delivery, or by electronic transmission, as described in the deposit agreement, the depositary will notify you of the upcoming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35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16"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depositary and its agents are not responsible for failing to carry out voting instructions or for the manner of carrying out voting instructions. This means that you may not be able to exercise your right to vote and you may have no recourse if the ordinary shares underlying your ADSs are not voted as you requested.</w:t>
      </w:r>
    </w:p>
    <w:p>
      <w:pPr>
        <w:spacing w:after="0" w:line="319"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3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Compliance with Regulations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Requests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w:t>
      </w:r>
    </w:p>
    <w:p>
      <w:pPr>
        <w:spacing w:after="0" w:line="1" w:lineRule="exact"/>
        <w:rPr>
          <w:sz w:val="20"/>
          <w:szCs w:val="20"/>
          <w:color w:val="auto"/>
        </w:rPr>
      </w:pPr>
    </w:p>
    <w:p>
      <w:pPr>
        <w:jc w:val="both"/>
        <w:ind w:left="1260" w:right="419"/>
        <w:spacing w:after="0" w:line="253" w:lineRule="auto"/>
        <w:tabs>
          <w:tab w:leader="none" w:pos="15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shares directly, in each case irrespective of whether or not they are ADS holders or beneficial owners at the time such request is made.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Interests</w:t>
      </w:r>
    </w:p>
    <w:p>
      <w:pPr>
        <w:spacing w:after="0" w:line="135"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Each ADS holder and beneficial owner shall comply with our requests pursuant to Cayman Islands law, the rules and requirements of the New York Stock Exchange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Up to US$0.05 per ADS issued</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4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To any person to which ADSs are issued or to any</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 to which a distribution is made in respect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ADS distributions pursuant to stock dividends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other free distributions of stock, bonus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stock splits or other distributions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(except where converted to cash)</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20" w:type="dxa"/>
            <w:vAlign w:val="bottom"/>
            <w:vMerge w:val="continue"/>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cancelled</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Cancellation of ADSs, including the case of</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the deposit agreement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0" w:type="dxa"/>
            <w:vAlign w:val="bottom"/>
            <w:vMerge w:val="continue"/>
          </w:tcPr>
          <w:p>
            <w:pPr>
              <w:spacing w:after="0"/>
              <w:rPr>
                <w:sz w:val="12"/>
                <w:szCs w:val="12"/>
                <w:color w:val="auto"/>
              </w:rPr>
            </w:pPr>
          </w:p>
        </w:tc>
        <w:tc>
          <w:tcPr>
            <w:tcW w:w="3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Distribution of cash dividends</w:t>
            </w:r>
          </w:p>
        </w:tc>
        <w:tc>
          <w:tcPr>
            <w:tcW w:w="1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held</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2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w:t>
            </w:r>
          </w:p>
        </w:tc>
        <w:tc>
          <w:tcPr>
            <w:tcW w:w="3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held and/or cash proceeds</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4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Distribution of cash entitlements (other than cash</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from the sale of rights, securities and other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spacing w:after="0"/>
              <w:rPr>
                <w:sz w:val="20"/>
                <w:szCs w:val="2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entitlements</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20" w:type="dxa"/>
            <w:vAlign w:val="bottom"/>
            <w:vMerge w:val="continue"/>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held</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Distribution of ADSs pursuant to exercise of</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20" w:type="dxa"/>
            <w:vAlign w:val="bottom"/>
            <w:vMerge w:val="continue"/>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held additional ADSs</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400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 Distribution of securities other than ADSs or</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to purchase</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20" w:type="dxa"/>
            <w:vAlign w:val="bottom"/>
            <w:vMerge w:val="continue"/>
          </w:tcPr>
          <w:p>
            <w:pPr>
              <w:spacing w:after="0"/>
              <w:rPr>
                <w:sz w:val="14"/>
                <w:szCs w:val="14"/>
                <w:color w:val="auto"/>
              </w:rPr>
            </w:pPr>
          </w:p>
        </w:tc>
        <w:tc>
          <w:tcPr>
            <w:tcW w:w="3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Depositary services</w:t>
            </w:r>
          </w:p>
        </w:tc>
        <w:tc>
          <w:tcPr>
            <w:tcW w:w="1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 to US$0.05 per ADS held on the applicable</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w:t>
            </w:r>
          </w:p>
        </w:tc>
        <w:tc>
          <w:tcPr>
            <w:tcW w:w="3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480"/>
        <w:spacing w:after="0"/>
        <w:rPr>
          <w:sz w:val="20"/>
          <w:szCs w:val="20"/>
          <w:color w:val="auto"/>
        </w:rPr>
      </w:pPr>
      <w:r>
        <w:rPr>
          <w:rFonts w:ascii="Times New Roman" w:cs="Times New Roman" w:eastAsia="Times New Roman" w:hAnsi="Times New Roman"/>
          <w:sz w:val="18"/>
          <w:szCs w:val="18"/>
          <w:color w:val="auto"/>
        </w:rPr>
        <w:t>record date(s) established by the depositary bank</w:t>
      </w:r>
    </w:p>
    <w:p>
      <w:pPr>
        <w:spacing w:after="0" w:line="12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269" w:lineRule="exact"/>
        <w:rPr>
          <w:sz w:val="20"/>
          <w:szCs w:val="20"/>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Cayman Islands (i.e., upon deposit and withdrawal of ordinary shares).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30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Any applicable fees and penalties thereon.</w:t>
      </w:r>
    </w:p>
    <w:p>
      <w:pPr>
        <w:spacing w:after="0" w:line="15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2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1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ectPr>
          <w:pgSz w:w="11900" w:h="16838" w:orient="portrait"/>
          <w:cols w:equalWidth="0" w:num="1">
            <w:col w:w="9879"/>
          </w:cols>
          <w:pgMar w:left="580" w:top="97" w:right="1440" w:bottom="1440" w:gutter="0" w:footer="0" w:header="0"/>
        </w:sectPr>
      </w:pPr>
    </w:p>
    <w:p>
      <w:pPr>
        <w:ind w:left="1260"/>
        <w:spacing w:after="0" w:line="184" w:lineRule="auto"/>
        <w:tabs>
          <w:tab w:leader="none" w:pos="3060" w:val="left"/>
        </w:tabs>
        <w:rPr>
          <w:sz w:val="20"/>
          <w:szCs w:val="20"/>
          <w:color w:val="auto"/>
        </w:rPr>
      </w:pPr>
      <w:r>
        <w:rPr>
          <w:rFonts w:ascii="Times New Roman" w:cs="Times New Roman" w:eastAsia="Times New Roman" w:hAnsi="Times New Roman"/>
          <w:sz w:val="25"/>
          <w:szCs w:val="25"/>
          <w:b w:val="1"/>
          <w:bCs w:val="1"/>
          <w:color w:val="auto"/>
          <w:vertAlign w:val="subscript"/>
        </w:rPr>
        <w:t>​</w:t>
      </w:r>
      <w:r>
        <w:rPr>
          <w:sz w:val="20"/>
          <w:szCs w:val="20"/>
          <w:color w:val="auto"/>
        </w:rPr>
        <w:tab/>
      </w:r>
      <w:r>
        <w:rPr>
          <w:rFonts w:ascii="Times New Roman" w:cs="Times New Roman" w:eastAsia="Times New Roman" w:hAnsi="Times New Roman"/>
          <w:sz w:val="13"/>
          <w:szCs w:val="13"/>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111125</wp:posOffset>
            </wp:positionV>
            <wp:extent cx="25374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59" w:lineRule="exact"/>
        <w:rPr>
          <w:sz w:val="20"/>
          <w:szCs w:val="20"/>
          <w:color w:val="auto"/>
        </w:rPr>
      </w:pPr>
    </w:p>
    <w:p>
      <w:pPr>
        <w:ind w:left="1260" w:right="180"/>
        <w:spacing w:after="0" w:line="271" w:lineRule="auto"/>
        <w:rPr>
          <w:sz w:val="20"/>
          <w:szCs w:val="20"/>
          <w:color w:val="auto"/>
        </w:rPr>
      </w:pPr>
      <w:r>
        <w:rPr>
          <w:rFonts w:ascii="Times New Roman" w:cs="Times New Roman" w:eastAsia="Times New Roman" w:hAnsi="Times New Roman"/>
          <w:sz w:val="18"/>
          <w:szCs w:val="18"/>
          <w:color w:val="auto"/>
        </w:rPr>
        <w:t>​Change the nominal or par value of our ordinary shares</w:t>
      </w:r>
    </w:p>
    <w:p>
      <w:pPr>
        <w:spacing w:after="0" w:line="2" w:lineRule="exact"/>
        <w:rPr>
          <w:sz w:val="20"/>
          <w:szCs w:val="20"/>
          <w:color w:val="auto"/>
        </w:rPr>
      </w:pPr>
    </w:p>
    <w:p>
      <w:pPr>
        <w:ind w:left="1260" w:right="500"/>
        <w:spacing w:after="0" w:line="266" w:lineRule="auto"/>
        <w:rPr>
          <w:sz w:val="20"/>
          <w:szCs w:val="20"/>
          <w:color w:val="auto"/>
        </w:rPr>
      </w:pPr>
      <w:r>
        <w:rPr>
          <w:rFonts w:ascii="Times New Roman" w:cs="Times New Roman" w:eastAsia="Times New Roman" w:hAnsi="Times New Roman"/>
          <w:sz w:val="18"/>
          <w:szCs w:val="18"/>
          <w:color w:val="auto"/>
        </w:rPr>
        <w:t>​Reclassify, split up or consolidate any of the deposited securities</w:t>
      </w:r>
    </w:p>
    <w:p>
      <w:pPr>
        <w:ind w:left="1260"/>
        <w:spacing w:after="0" w:line="264" w:lineRule="auto"/>
        <w:rPr>
          <w:sz w:val="20"/>
          <w:szCs w:val="20"/>
          <w:color w:val="auto"/>
        </w:rPr>
      </w:pPr>
      <w:r>
        <w:rPr>
          <w:rFonts w:ascii="Times New Roman" w:cs="Times New Roman" w:eastAsia="Times New Roman" w:hAnsi="Times New Roman"/>
          <w:sz w:val="18"/>
          <w:szCs w:val="18"/>
          <w:color w:val="auto"/>
        </w:rPr>
        <w:t>​Distribute securities on the ordinary shares that are not distributed to you, or recapitalize, reorganize, merge, liquidate, sell all or substantially all of our assets, or take any similar action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0"/>
        <w:spacing w:after="0"/>
        <w:tabs>
          <w:tab w:leader="none" w:pos="20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27305</wp:posOffset>
            </wp:positionV>
            <wp:extent cx="25374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6" w:lineRule="exact"/>
        <w:rPr>
          <w:sz w:val="20"/>
          <w:szCs w:val="20"/>
          <w:color w:val="auto"/>
        </w:rPr>
      </w:pPr>
    </w:p>
    <w:p>
      <w:pPr>
        <w:ind w:left="240" w:right="60" w:hanging="224"/>
        <w:spacing w:after="0" w:line="271" w:lineRule="auto"/>
        <w:tabs>
          <w:tab w:leader="none" w:pos="1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cash, shares or other securities received by the depositary will become deposited securities.</w:t>
      </w:r>
    </w:p>
    <w:p>
      <w:pPr>
        <w:spacing w:after="0" w:line="1" w:lineRule="exact"/>
        <w:rPr>
          <w:rFonts w:ascii="Times New Roman" w:cs="Times New Roman" w:eastAsia="Times New Roman" w:hAnsi="Times New Roman"/>
          <w:sz w:val="18"/>
          <w:szCs w:val="18"/>
          <w:color w:val="auto"/>
        </w:rPr>
      </w:pPr>
    </w:p>
    <w:p>
      <w:pPr>
        <w:ind w:left="240" w:right="280" w:hanging="224"/>
        <w:spacing w:after="0" w:line="266" w:lineRule="auto"/>
        <w:tabs>
          <w:tab w:leader="none" w:pos="1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ADS will automatically represent its equal share of the new deposited securities.</w:t>
      </w:r>
    </w:p>
    <w:p>
      <w:pPr>
        <w:ind w:left="240" w:hanging="224"/>
        <w:spacing w:after="0" w:line="260" w:lineRule="auto"/>
        <w:tabs>
          <w:tab w:leader="none" w:pos="1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depositary may distribute some or all of the cash, shares or other securities it received. It may also deliver new ADSs or ask you to surrender your outstanding ADRs in exchange for new ADRs identifying the new deposited securities.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5100" w:space="140"/>
            <w:col w:w="4140" w:space="80"/>
            <w:col w:w="41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our company, the ADRs and the deposit agreement.</w:t>
      </w:r>
    </w:p>
    <w:p>
      <w:pPr>
        <w:spacing w:after="0" w:line="10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depositary will maintain facilities in the Borough of Manhattan, The City of New York to record and process the issuance, cancellation, combination, split-up and transfer of ADRs.</w:t>
      </w:r>
    </w:p>
    <w:p>
      <w:pPr>
        <w:spacing w:after="0" w:line="8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225" w:lineRule="exact"/>
        <w:rPr>
          <w:sz w:val="20"/>
          <w:szCs w:val="20"/>
          <w:color w:val="auto"/>
        </w:rPr>
      </w:pPr>
    </w:p>
    <w:p>
      <w:pPr>
        <w:ind w:left="162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and the Custodian; Limits on Liability to Holders of ADSs</w:t>
      </w:r>
    </w:p>
    <w:p>
      <w:pPr>
        <w:spacing w:after="0" w:line="9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54" w:lineRule="exact"/>
        <w:rPr>
          <w:sz w:val="20"/>
          <w:szCs w:val="20"/>
          <w:color w:val="auto"/>
        </w:rPr>
      </w:pPr>
    </w:p>
    <w:p>
      <w:pPr>
        <w:ind w:left="1800" w:right="4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gross negligence or willful misconduct;</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53"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302"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special, consequential, indirect or punitive damages for any breach of the terms of the deposit agreement, or otherwise;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party;</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32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w:t>
      </w:r>
    </w:p>
    <w:p>
      <w:pPr>
        <w:spacing w:after="0" w:line="1" w:lineRule="exact"/>
        <w:rPr>
          <w:sz w:val="20"/>
          <w:szCs w:val="20"/>
          <w:color w:val="auto"/>
        </w:rPr>
      </w:pPr>
    </w:p>
    <w:p>
      <w:pPr>
        <w:jc w:val="both"/>
        <w:ind w:left="1260" w:right="419"/>
        <w:spacing w:after="0" w:line="253"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32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200" w:lineRule="exact"/>
        <w:rPr>
          <w:sz w:val="20"/>
          <w:szCs w:val="20"/>
          <w:color w:val="auto"/>
        </w:rPr>
      </w:pPr>
    </w:p>
    <w:p>
      <w:pPr>
        <w:spacing w:after="0" w:line="2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Jurisdiction and Arbitration</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will have the right to refer any claim or dispute arising from the relationship created by the deposit agreement to arbitration in accordance with the Commercial Arbitration Rules of the American Arbitration Association. The fees of the arbitrator and other costs incurred by the parties in connection with such arbitration shall be paid by the party or parties that is (are) unsuccessful in such arbitration. The arbitration provisions of the deposit agreement do not preclude you from pursuing claims arising under the Securities Act or the Exchange Act in state or federal courts. The arbitration provision of the deposit agreement shall not relieve us or the depositary from our respective obligations to comply with the Securities Act and the Exchange Act and is not intended to be deemed a waiver by any holder or beneficial owner of ADSs of compliance with the U.S. federal securities laws and the rules and regulations promulgated thereunder.</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6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Before the depositary will issue, deliver or register a transfer of an ADS, split-up, subdivide or combine ADSs, make a distribution on an ADS, or permit withdrawal of ordinary shares, the depositary may require:</w:t>
      </w:r>
    </w:p>
    <w:p>
      <w:pPr>
        <w:spacing w:after="0" w:line="282" w:lineRule="exact"/>
        <w:rPr>
          <w:sz w:val="20"/>
          <w:szCs w:val="20"/>
          <w:color w:val="auto"/>
        </w:rPr>
      </w:pPr>
    </w:p>
    <w:p>
      <w:pPr>
        <w:jc w:val="both"/>
        <w:ind w:left="1800" w:right="41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any other matters contemplated in the deposit agreement;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9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have the right to cancel your ADSs and withdraw the underlying ordinary shares at any time except:</w:t>
      </w:r>
    </w:p>
    <w:p>
      <w:pPr>
        <w:spacing w:after="0" w:line="315" w:lineRule="exact"/>
        <w:rPr>
          <w:sz w:val="20"/>
          <w:szCs w:val="20"/>
          <w:color w:val="auto"/>
        </w:rPr>
      </w:pPr>
    </w:p>
    <w:p>
      <w:pPr>
        <w:jc w:val="both"/>
        <w:ind w:left="1800" w:right="41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specifically contemplated by Section I.A.(l) of the General Instructions to Form F-6 (as such General Instructions may be amended from time to time); or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if the depositary or we determine, in good faith, that it is necessary or advisable to prohibit withdrawals.</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incorporated in the Cayman Islands to take advantage of certain benefits associated with being a</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Cayman Islands exempted company, such as:</w:t>
      </w:r>
    </w:p>
    <w:p>
      <w:pPr>
        <w:spacing w:after="0" w:line="84"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54" w:lineRule="exact"/>
        <w:rPr>
          <w:sz w:val="20"/>
          <w:szCs w:val="20"/>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less protection to investors as compared to the United States;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may face special obstacles, including but not limited to those relating to jurisdiction and standing, in attempting to assert derivative claims in state or federal courts of the United States.</w:t>
      </w:r>
    </w:p>
    <w:p>
      <w:pPr>
        <w:spacing w:after="0" w:line="9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31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Substantially all of our operations are conducted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in the U.S. District Court for the Southern District of New York in connection with this offering under the federal securities laws of the United States or the securities laws of any State in the United States or any action brought against us in the Supreme Court of the State of New York in the County of New York in connection with this offering under the securities laws of the State of New York.</w:t>
      </w:r>
    </w:p>
    <w:p>
      <w:pPr>
        <w:spacing w:after="0" w:line="11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have been advised by our Cayman Islands legal counsel, Maples and Calder (Hong Kong) LLP, that the courts of the Cayman Islands are unlikely (i) to recognize or enforce against us judgments of courts of the United States predicated upon the civil liability provisions of the securities laws of the United States or any state in the United States; and (ii) in original actions brought in the Cayman Islands, to impose liabilities against us predicated upon the civil liability provisions of the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of the Cayman Islands). A Cayman Islands Court may stay enforcement proceedings if concurrent proceedings are being brought elsewhere.</w:t>
      </w:r>
    </w:p>
    <w:p>
      <w:pPr>
        <w:spacing w:after="0" w:line="32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Han Kun Law Offices, our counsel as to PRC law, has advised us that there is uncertainty as to whether the courts of China would: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9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There are no treaty and few other forms of reciprocity governing the recognition and enforcement of foreign judgments between China and the United States or between China and the Cayman Islands.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the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electing PRC courts for dispute resolution if such foreign shareholders can establish sufficient nexus to the PRC for a PRC court to have jurisdiction, and meet other procedural requirements, including, among others, that the plaintiff must have a direct interest in the case, and there must be a concrete claim, a factual basis and a cause for the case. The PRC court will determine whether to accept the complaint in accordance with the PRC Civil Procedures Law and PRC Law on the Application of Laws to Foreign-related Civil Relations.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354"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the PRC in accordance with PRC laws because we are incorporated under the laws of the Cayman Islands and it will be difficult for U.S. shareholders, by virtue only of holding our ADSs or Class A ordinary shares, to establish a connection to the PRC for a PRC court to have jurisdiction as required under the PRC Civil Procedures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The following summary of the material Cayman Islands, PRC and U.S. federal income tax consequences of an investment in our ADSs or ordinary shares is based upon laws and relevant interpretations thereof in effect as of the date of this prospectus, all of which are subject to change or differing interpretation, possibly with retroactive effect. This summary does not deal with all possible tax consequences relating to an investment in our ADSs or ordinary shares, such as the tax consequences under U.S. state and local tax laws or under the tax laws of jurisdictions other than the Cayman Islands, PRC and the United States. To the extent that the discussion relates to matters of Cayman Islands tax law, it represents the opinion of Maples and Calder (Hong Kong) LLF, our Cayman Islands counsel, and to the extent that the discussion relates to matters of PRC tax law, it represents the opinion of Han Kun Law Offices, our PRC counsel.</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Cayman Islands currently has no form of income, corporate or capital gains tax and no estate duty, inheritance tax or gift tax.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spacing w:after="0" w:line="11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6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Taxation Administration issued the Circular on Issues Relating to Identification of PRC-Controlled Overseas Registered Enterprises as Resident Enterprises in Accordance With the De Facto Standards of Organizational Management, or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Taxation Administration issued the Bulletin on Promulgation of the Administrative Measures for Income Tax of Chinese-Controlled Offshore-Incorporated Resident Enterprises (Trial Implementation), which took effect in September 2011, to provide more guidance on the implementation of Circular 82. This bulletin provides for procedures and administration details of determination on resident status and administration on post-determination matters.</w:t>
      </w:r>
    </w:p>
    <w:p>
      <w:pPr>
        <w:spacing w:after="0" w:line="200" w:lineRule="exact"/>
        <w:rPr>
          <w:sz w:val="20"/>
          <w:szCs w:val="20"/>
          <w:color w:val="auto"/>
        </w:rPr>
      </w:pPr>
    </w:p>
    <w:p>
      <w:pPr>
        <w:spacing w:after="0" w:line="333"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NIO Inc.’s key assets are its ownership interests in its subsidiaries, and its key assets are located, and its records (including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10"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Enterprise Income Tax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Circular on Certain Issues with Respect to the Enforcement of Dividend Provisions in Tax Treaties, or Circular 81, issued by the State Taxation Administration in February 2009,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Treaties, which took effect in January 2020, require that non -resident enterprises must obtain approval from the tax authority in order to enjoy the reduced tax rate. There are also other conditions for enjoying the reduced tax rate according to other relevant tax rules and regulations. Accordingly, our subsidiaries may be able to enjoy the 5% tax rate for the dividends it receives from its PRC incorporated subsidiaries if they satisfy the conditions prescribed under Circular 81 and other tax rules and regulations and obtain the approvals as required. However, according to Circular 81, if the relevant tax authorities determine our transactions or arrangements are for the primary purpose of enjoying a favorable tax treatment, the tax authorities may adjust the favorable tax rate on dividends in the future.</w:t>
      </w:r>
    </w:p>
    <w:p>
      <w:pPr>
        <w:spacing w:after="0" w:line="343" w:lineRule="exact"/>
        <w:rPr>
          <w:sz w:val="20"/>
          <w:szCs w:val="20"/>
          <w:color w:val="auto"/>
        </w:rPr>
      </w:pPr>
    </w:p>
    <w:p>
      <w:pPr>
        <w:jc w:val="both"/>
        <w:ind w:left="1260" w:right="419" w:firstLine="360"/>
        <w:spacing w:after="0" w:line="24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Provided that our Cayman Islands holding company, NIO Inc., is not deemed to be a PRC resident enterprise, holders of our ADSs and Class A ordinary shares who are not PRC residents will not be subject to PRC income tax on dividends that we distributed or gains realized from the sale or other disposition of our shares or ADSs. In February 2015, the State Taxation Administration issued the Circular on Issues of Enterprise Income Tax on Indirect Transfers of Assets by Non-PRC Resident Enterprises, or Circular 7, which was latest amended in December 2017.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“Item 3. Key Information — D. Risk Factors —  Risks Related to Doing Business in China — We face uncertainty with respect to indirect transfers of equity </w:t>
      </w:r>
      <w:hyperlink r:id="rId12">
        <w:r>
          <w:rPr>
            <w:rFonts w:ascii="Times New Roman" w:cs="Times New Roman" w:eastAsia="Times New Roman" w:hAnsi="Times New Roman"/>
            <w:sz w:val="18"/>
            <w:szCs w:val="18"/>
            <w:color w:val="auto"/>
          </w:rPr>
          <w:t xml:space="preserve">interests in PRC resident enterprises by their non-PRC holding companies” in our </w:t>
        </w:r>
        <w:r>
          <w:rPr>
            <w:rFonts w:ascii="Times New Roman" w:cs="Times New Roman" w:eastAsia="Times New Roman" w:hAnsi="Times New Roman"/>
            <w:sz w:val="18"/>
            <w:szCs w:val="18"/>
            <w:u w:val="single" w:color="auto"/>
            <w:color w:val="0000EE"/>
          </w:rPr>
          <w:t>annual report on Form 20-</w:t>
        </w:r>
      </w:hyperlink>
      <w:hyperlink r:id="rId12">
        <w:r>
          <w:rPr>
            <w:rFonts w:ascii="Times New Roman" w:cs="Times New Roman" w:eastAsia="Times New Roman" w:hAnsi="Times New Roman"/>
            <w:sz w:val="18"/>
            <w:szCs w:val="18"/>
            <w:u w:val="single" w:color="auto"/>
            <w:color w:val="0000EE"/>
          </w:rPr>
          <w:t>F for the year ended December 31, 2023</w:t>
        </w:r>
        <w:r>
          <w:rPr>
            <w:rFonts w:ascii="Times New Roman" w:cs="Times New Roman" w:eastAsia="Times New Roman" w:hAnsi="Times New Roman"/>
            <w:sz w:val="18"/>
            <w:szCs w:val="18"/>
            <w:color w:val="000000"/>
          </w:rPr>
          <w:t>, which is incorporated in this prospectus by reference.</w:t>
        </w:r>
      </w:hyperlink>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4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Class A ordinary shares by a U.S. Holder (as defined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There can be no assurance that the Internal Revenue Service (the “IRS”) or a court will not take a contrary position. This discussion, moreover, does not address the U.S. federal estate, gift, Medicare,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94"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Class A ordinary shares pursuant to any employee share option or otherwise as compensation;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Class A ordinary shares as part of a straddle, hedge, conversion, constructive sale or other integrated transaction for U.S. federal income tax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ADSs or Class A ordinary shares through such entities.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of the foregoing may be subject to tax rules that differ significantly from those discussed below.</w:t>
      </w:r>
    </w:p>
    <w:p>
      <w:pPr>
        <w:spacing w:after="0" w:line="14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Class A ordinary shares that is, for U.S. federal income tax purposes:</w:t>
      </w:r>
    </w:p>
    <w:p>
      <w:pPr>
        <w:spacing w:after="0" w:line="54"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32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our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spacing w:after="0" w:line="114"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Assuming that we are the owner of the VIEs for U.S. federal income tax purposes, and based upon our current and expected income and assets, we do not believe that we were a PFIC for the taxable year ended December 31, 2023. However, no assurance can be given that we will not be or become a PFIC in the current or future taxable years because the determination of whether we will be or become a PFIC is a factual determination made annually that will depend, in part, upon the nature and composition of our income and assets (in particular, the retention of substantial amounts of cash and investments). Fluctuations in the market price of our ADSs or Class A ordinary shares may cause us to be or become classified as a PFIC for the current or future taxable years because the value of our assets for purposes of the asset test, including the value of our goodwill and other unbooked intangibles, may be determined by reference to the market price of our ADSs or Class A ordinary shares, which may be volatile. In particular, recent declines in the market price of the ADSs and Class A ordinary shares significantly increased our risk of becoming a PFIC. The market price of the ADSs and Class A ordinary shares may continue to fluctuate considerably and, consequently, we cannot assure you of our PFIC status for any taxable year. Furthermore, the composition of our income and assets may also be affected by how, and how quickly, we use our liquid assets. Under circumstances where our passive income significantly increases relative to our non- passive income, or where we determine not to deploy significant amounts of cash for active purposes, our risk of becoming classified as a PFIC may substantially increase. If we were to be or become a PFIC for any taxable year during which a U.S. holder holds our ADSs or Class A ordinary shares, certain adverse U.S. federal income tax consequences could apply to such U.S. holders.</w:t>
      </w:r>
    </w:p>
    <w:p>
      <w:pPr>
        <w:spacing w:after="0" w:line="33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we are classified as a PFIC for any year during which a U.S. Holder holds our ADSs or Class A ordinary shares, the PFIC rules discussed below under “— Passive Foreign Investment Company Rules” generally will apply to such U.S. Holder for such taxable year, and unless the U.S. Holder makes certain elections, will apply in future years even if we cease to be a PFIC.</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discussion below under “— Dividends” and “— Sale or Other Disposition” is written on the basis that we will not be or become classified as a PFIC for U.S. federal income tax purposes. The U.S. federal</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income tax rules that apply generally if we are treated as a PFIC are discussed below under “— Passive Foreign Investment Company Rules.”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(the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to be readily tradeable on the New York Stock Exchange, which is an established securities market in the United States. There can be no assurance, however, that our ADSs will be considered readily tradeable on an established securities market in later years.</w:t>
      </w:r>
    </w:p>
    <w:p>
      <w:pPr>
        <w:spacing w:after="0" w:line="34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 People’s Republic of China Taxation” above),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0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Subject to the discussion below under “—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Treaty. Pursuant to Treasury Regulations, however, if a U.S. Holder is not eligible for the benefits of the Treaty or does not elect to apply the Treaty, then such holder may not be able to claim a foreign tax credit arising from any PRC tax imposed on the disposition of our ADSs or Class A ordinary shares. The deductibility of a capital loss may be subject to limitations. U.S. Holders are urged to consult their tax advisors regarding the tax consequences if a foreign tax is imposed on a disposition of our ADSs or Class A ordinary shares, including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availability of the foreign tax credit or deduction under their particular circumstances, their eligibility for benefits under the Treaty and the potential impact of the Treasury Regulations.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60" w:lineRule="exact"/>
        <w:rPr>
          <w:sz w:val="20"/>
          <w:szCs w:val="20"/>
          <w:color w:val="auto"/>
        </w:rPr>
      </w:pPr>
    </w:p>
    <w:p>
      <w:pPr>
        <w:ind w:left="1800" w:right="4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9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and any of our subsidiaries, our variable interest entities or any of the subsidiaries of our variable interest entities is also a PFIC, such U.S. Holder would be treated as owning a proportionate amount (by value) of the shares of the lower- tier PFIC for purposes of the application of these rules. U.S. Holders are urged to consult their tax advisors regarding the application of the PFIC rules to any of our subsidiaries, our variable interest entities or any of the subsidiaries of our variable interest entities.</w:t>
      </w:r>
    </w:p>
    <w:p>
      <w:pPr>
        <w:spacing w:after="0" w:line="112"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on a qualified exchange, as defined in applicable U.S. Treasury Regulations. For those purposes, our ADSs, but not our Class A ordinary shares, are traded on the New York Stock Exchange which is a qualified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 -market election. The U.S. Holder’s adjusted tax basis in the ADSs would be adjusted to reflect any income or loss resulting from the mark-to- 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 to- 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33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Because a mark-to-market election technically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323"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Selling shareholders to be named in a prospectus supplement may, from time to time, offer and sell some or all of our Class A ordinary shares held by them pursuant to this prospectus and the applicable prospectus supplement. Such selling shareholders may sell our Class A ordinary shares held by them to or through underwriters, dealers or agents or directly to purchasers or as otherwise set forth in the applicable prospectus supplement. See “Plan of Distribution.” Such selling shareholders may also sell, transfer or otherwise dispose of some or all of our ordinary shares held by them in transactions exempt from the registration requirements of the Securities Act.</w:t>
      </w:r>
    </w:p>
    <w:p>
      <w:pPr>
        <w:spacing w:after="0" w:line="121"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any selling shareholder is to offer and sell some or all of our Class A ordinary shares held by them pursuant to this prospectus, we will provide you with a prospectus supplement that sets forth the name of each selling shareholder and the number of our Class A ordinary shares beneficially owned by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or the selling shareholders named in the applicable prospectus supplement may sell the securities described in this prospectus from time to time in one or more transactions, including without limitation:</w:t>
      </w:r>
    </w:p>
    <w:p>
      <w:pPr>
        <w:spacing w:after="0" w:line="54"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exchange on which the securities offered by this prospectus are listed or any automatic quotation system through which the securities may be quoted;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19"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1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or the selling shareholders named in the applicable prospectus supplement may sell the securities offered by this prospectus at:</w:t>
      </w:r>
    </w:p>
    <w:p>
      <w:pPr>
        <w:spacing w:after="0" w:line="40"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5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or the selling shareholders named in the applicable prospectus supplement may solicit offers to purchase the securities directly from the public from time to time. We or the selling shareholders named in the applicable prospectus supplement may also designate agents from time to time to solicit offers to purchase securities from the public on our or their behalf. The prospectus supplement relating to any particular offering of securities will name any agents designated to solicit offers, and will include information about any commissions to be paid to the agents, in that offering. Agents may be deemed to be “underwriters” as that term is defined in the Securities Act. From time to time, we or the selling shareholders named in the applicable prospectus supplement may sell securities to one or more dealers as principals. The dealers, who may be deemed to be “underwriters” as that term is defined in the Securities Act, may then resell those securities to the public. We or the selling shareholders named in the applicable prospectus supplement may sell securities from time to time to one or more underwriters, who would purchase the securities as principal for resale to the public, either on a firm-commitment or best-efforts basis. If we or the selling shareholders named in the applicable prospectus supplement sell securities to underwriters, we or the selling shareholders named in the applicable prospectus supplement will execute an underwriting agreement with them at the time of sale and will name them in the applicable prospectus supplement. In connection with those sales, underwriters may be deemed to have received compensation from us or the selling shareholders named in the applicable prospectus supplement in the form of underwriting discounts or commissions and may also receive commissions from purchasers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Underwriters, dealers, agents and other persons may be entitled, under agreements that they may enter into with us or the selling shareholders named in the applicable prospectus supplement, to indemnification by us or the selling shareholders named in the applicable prospectus supplement against civil liabilities, including liabilities under the Securities Act, or to contribution with respect to payments which they may be required to make.</w:t>
      </w:r>
    </w:p>
    <w:p>
      <w:pPr>
        <w:spacing w:after="0" w:line="12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the offering of the securities, including the following:</w:t>
      </w:r>
    </w:p>
    <w:p>
      <w:pPr>
        <w:spacing w:after="0" w:line="54" w:lineRule="exact"/>
        <w:rPr>
          <w:sz w:val="20"/>
          <w:szCs w:val="20"/>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0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may pay expenses incurred with respect to the registration of shares owned by any selling shareholders.</w:t>
      </w:r>
    </w:p>
    <w:p>
      <w:pPr>
        <w:spacing w:after="0" w:line="35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underwriters, dealers and agents, as well as their associates, may be customers of or lenders to, and may engage in transactions with and perform services for, NIO Inc. and its subsidiaries. In addition, we may offer securities to or through our affiliates, as underwriters, dealers or agents. Our affiliates may also offer the securities in other markets through one or more selling agents, including one another. If so indicated in an applicable prospectus supplement, we will authorize dealers or other persons acting as our agent to solicit offers by some institutions to purchase securities from us pursuant to contracts providing for payment and delivery on a future date. Institutions with which these contracts may be made include commercial and savings banks, insurance companies, pension funds, investment companies, educational and charitable institutions and others.</w:t>
      </w:r>
    </w:p>
    <w:p>
      <w:pPr>
        <w:spacing w:after="0" w:line="34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being represented by Skadden, Arps, Slate, Meagher &amp; Flom LLP with respect to certain legal matters as to United States federal securities and New York State law. Certain legal matters in connection with any offering made pursuant to this prospectus will be passed upon for the underwriters by a law firm named in the applicable prospectus supplement. The validity of the ordinary shares represented by the ADSs and certain legal matters as to Cayman Islands law will be passed upon for us by Maples and Calder (Hong Kong) LLP. Certain legal matters as to PRC law will be passed upon for us by Han Kun Law Offices and for the underwriters by a law firm named in the applicable prospectus supplement. Skadden, Arps, Slate, Meagher &amp; Flom LLP may rely upon Maples and Calder (Hong Kong) LLP with respect to matters governed by Cayman Islands law and Han Kun Law Offices with respect to matters governed by PRC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41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12">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20-F for the year</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Zhong Tian LLP, an independent registered public accounting firm, given on the authority of said firm as experts in auditing and accounting.</w:t>
      </w:r>
    </w:p>
    <w:p>
      <w:pPr>
        <w:spacing w:after="0" w:line="33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registered business address of PricewaterhouseCoopers Zhong Tian LLP is 6/F DBS Bank Tower, 1318, Lu Jia Zui Ring Road, Pudong New Area, Shanghai,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that are applicable to a foreign private issuer. We file reports, including annual reports on Form 20-F, and other information with the SEC pursuant to the rules and regulations of the SEC that apply to foreign private issuers. All information that we file with or furnish to the SEC can be obtained over the internet on the SEC’s website at www.sec.gov. We also maintain a website at ir.nio.com, but information contained on, or linked from, our website is not incorporated by reference in this prospectus or any prospectus supplement. You should not regard any information on our website as a part of this prospectus or any prospectus supplement.</w:t>
      </w:r>
    </w:p>
    <w:p>
      <w:pPr>
        <w:spacing w:after="0" w:line="12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the information in the registration statement. You will find additional information about us in the registration statement. Any statement made in this prospectus concerning a contract or other document of ours is not necessarily complete, and you should read the documents that are filed as exhibits to the registration statement or otherwise filed with the SEC for a more complete understanding of the document or matter. Each such statement is qualified in all respects by reference to the document to which it refers. You may inspect a copy of the registration statement on the SEC’s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listed below:</w:t>
      </w:r>
    </w:p>
    <w:p>
      <w:pPr>
        <w:spacing w:after="0" w:line="117" w:lineRule="exact"/>
        <w:rPr>
          <w:sz w:val="20"/>
          <w:szCs w:val="20"/>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2">
        <w:r>
          <w:rPr>
            <w:rFonts w:ascii="Times New Roman" w:cs="Times New Roman" w:eastAsia="Times New Roman" w:hAnsi="Times New Roman"/>
            <w:sz w:val="18"/>
            <w:szCs w:val="18"/>
            <w:u w:val="single" w:color="auto"/>
            <w:color w:val="0000EE"/>
          </w:rPr>
          <w:t>annual report on Form 20-F for the fiscal year ended December 31, 2023 filed on April 9, 2024;</w:t>
        </w:r>
      </w:hyperlink>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0"/>
        </w:numPr>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auto"/>
          </w:rPr>
          <w:t xml:space="preserve">the description of the securities contained in our registration statement on </w:t>
        </w:r>
        <w:r>
          <w:rPr>
            <w:rFonts w:ascii="Times New Roman" w:cs="Times New Roman" w:eastAsia="Times New Roman" w:hAnsi="Times New Roman"/>
            <w:sz w:val="18"/>
            <w:szCs w:val="18"/>
            <w:u w:val="single" w:color="auto"/>
            <w:color w:val="0000EE"/>
          </w:rPr>
          <w:t>Form 8-A filed on</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EE"/>
          </w:rPr>
          <w:t>August 28, 2018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pursuant to Section 12 of the Exchange Act, together with all amendments and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filed for the purpose of updating that description; and</w:t>
      </w:r>
    </w:p>
    <w:p>
      <w:pPr>
        <w:spacing w:after="0" w:line="67" w:lineRule="exact"/>
        <w:rPr>
          <w:rFonts w:ascii="Times New Roman" w:cs="Times New Roman" w:eastAsia="Times New Roman" w:hAnsi="Times New Roman"/>
          <w:sz w:val="18"/>
          <w:szCs w:val="18"/>
          <w:color w:val="0000EE"/>
        </w:rPr>
      </w:pPr>
    </w:p>
    <w:p>
      <w:pPr>
        <w:jc w:val="both"/>
        <w:ind w:left="1800" w:right="41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securities under this prospectus, all reports on Form 20-F and any report on Form 6-K that so indicates it is being incorporated by reference, in each case, that we file with or furnish to the SEC on or after the date on which the registration statement is first filed with the SEC and until the termination or completion of that offering under this prospectus.</w:t>
      </w:r>
    </w:p>
    <w:p>
      <w:pPr>
        <w:spacing w:after="0" w:line="99" w:lineRule="exact"/>
        <w:rPr>
          <w:rFonts w:ascii="Times New Roman" w:cs="Times New Roman" w:eastAsia="Times New Roman" w:hAnsi="Times New Roman"/>
          <w:sz w:val="18"/>
          <w:szCs w:val="18"/>
          <w:color w:val="auto"/>
        </w:rPr>
      </w:pPr>
    </w:p>
    <w:p>
      <w:pPr>
        <w:jc w:val="both"/>
        <w:ind w:left="1260" w:right="419" w:firstLine="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12">
        <w:r>
          <w:rPr>
            <w:rFonts w:ascii="Times New Roman" w:cs="Times New Roman" w:eastAsia="Times New Roman" w:hAnsi="Times New Roman"/>
            <w:sz w:val="18"/>
            <w:szCs w:val="18"/>
            <w:u w:val="single" w:color="auto"/>
            <w:color w:val="0000EE"/>
          </w:rPr>
          <w:t>annual report on Form 20-F for the fiscal year ended December 31, 2023 filed on April 9, 2024</w:t>
        </w:r>
      </w:hyperlink>
      <w:r>
        <w:rPr>
          <w:rFonts w:ascii="Times New Roman" w:cs="Times New Roman" w:eastAsia="Times New Roman" w:hAnsi="Times New Roman"/>
          <w:sz w:val="18"/>
          <w:szCs w:val="18"/>
          <w:color w:val="auto"/>
        </w:rPr>
        <w:t>, contains a description of our business and audited consolidated financial statements with a report by our independent registered public accounting firm. These financial statements are prepared in accordance with U.S. GAAP.</w:t>
      </w:r>
    </w:p>
    <w:p>
      <w:pPr>
        <w:spacing w:after="0" w:line="112" w:lineRule="exact"/>
        <w:rPr>
          <w:rFonts w:ascii="Times New Roman" w:cs="Times New Roman" w:eastAsia="Times New Roman" w:hAnsi="Times New Roman"/>
          <w:sz w:val="18"/>
          <w:szCs w:val="18"/>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12"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NIO Inc.</w:t>
      </w:r>
    </w:p>
    <w:p>
      <w:pPr>
        <w:spacing w:after="0" w:line="27"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Building 19, No. 1355, Caobao Road</w:t>
      </w:r>
    </w:p>
    <w:p>
      <w:pPr>
        <w:spacing w:after="0" w:line="9"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Minhang District, Shanghai</w:t>
      </w:r>
    </w:p>
    <w:p>
      <w:pPr>
        <w:spacing w:after="0" w:line="9"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Tel: +86 21 6908-2018</w:t>
      </w:r>
    </w:p>
    <w:p>
      <w:pPr>
        <w:spacing w:after="0" w:line="9" w:lineRule="exact"/>
        <w:rPr>
          <w:rFonts w:ascii="Times New Roman" w:cs="Times New Roman" w:eastAsia="Times New Roman" w:hAnsi="Times New Roman"/>
          <w:sz w:val="18"/>
          <w:szCs w:val="18"/>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Investor Relations Department</w:t>
      </w:r>
    </w:p>
    <w:p>
      <w:pPr>
        <w:spacing w:after="0" w:line="126" w:lineRule="exact"/>
        <w:rPr>
          <w:rFonts w:ascii="Times New Roman" w:cs="Times New Roman" w:eastAsia="Times New Roman" w:hAnsi="Times New Roman"/>
          <w:sz w:val="18"/>
          <w:szCs w:val="18"/>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ind w:left="9800"/>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424(b)(3)</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660" w:type="dxa"/>
            <w:vAlign w:val="bottom"/>
            <w:tcBorders>
              <w:top w:val="single" w:sz="8" w:color="auto"/>
              <w:right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Fee</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8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0" w:type="dxa"/>
            <w:vAlign w:val="bottom"/>
          </w:tcPr>
          <w:p>
            <w:pPr>
              <w:spacing w:after="0"/>
              <w:rPr>
                <w:sz w:val="1"/>
                <w:szCs w:val="1"/>
                <w:color w:val="auto"/>
              </w:rPr>
            </w:pPr>
          </w:p>
        </w:tc>
      </w:tr>
      <w:tr>
        <w:trPr>
          <w:trHeight w:val="184"/>
        </w:trPr>
        <w:tc>
          <w:tcPr>
            <w:tcW w:w="8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Carry</w:t>
            </w:r>
          </w:p>
        </w:tc>
        <w:tc>
          <w:tcPr>
            <w:tcW w:w="10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Connection</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 Unsold</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Calculation or</w:t>
            </w: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Security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 Carried</w:t>
            </w:r>
          </w:p>
        </w:tc>
        <w:tc>
          <w:tcPr>
            <w:tcW w:w="0" w:type="dxa"/>
            <w:vAlign w:val="bottom"/>
          </w:tcPr>
          <w:p>
            <w:pPr>
              <w:spacing w:after="0"/>
              <w:rPr>
                <w:sz w:val="1"/>
                <w:szCs w:val="1"/>
                <w:color w:val="auto"/>
              </w:rPr>
            </w:pPr>
          </w:p>
        </w:tc>
      </w:tr>
      <w:tr>
        <w:trPr>
          <w:trHeight w:val="270"/>
        </w:trPr>
        <w:tc>
          <w:tcPr>
            <w:tcW w:w="86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 Rule</w:t>
            </w:r>
          </w:p>
        </w:tc>
        <w:tc>
          <w:tcPr>
            <w:tcW w:w="106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 xml:space="preserve">Registered </w:t>
            </w:r>
            <w:r>
              <w:rPr>
                <w:rFonts w:ascii="Times New Roman" w:cs="Times New Roman" w:eastAsia="Times New Roman" w:hAnsi="Times New Roman"/>
                <w:sz w:val="29"/>
                <w:szCs w:val="29"/>
                <w:b w:val="1"/>
                <w:bCs w:val="1"/>
                <w:color w:val="auto"/>
                <w:w w:val="95"/>
                <w:vertAlign w:val="superscript"/>
              </w:rPr>
              <w:t>(1)</w:t>
            </w:r>
          </w:p>
        </w:tc>
        <w:tc>
          <w:tcPr>
            <w:tcW w:w="84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 xml:space="preserve">Unit </w:t>
            </w:r>
            <w:r>
              <w:rPr>
                <w:rFonts w:ascii="Times New Roman" w:cs="Times New Roman" w:eastAsia="Times New Roman" w:hAnsi="Times New Roman"/>
                <w:sz w:val="29"/>
                <w:szCs w:val="29"/>
                <w:b w:val="1"/>
                <w:bCs w:val="1"/>
                <w:color w:val="auto"/>
                <w:w w:val="91"/>
                <w:vertAlign w:val="superscript"/>
              </w:rPr>
              <w:t>(1)</w:t>
            </w:r>
          </w:p>
        </w:tc>
        <w:tc>
          <w:tcPr>
            <w:tcW w:w="80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 xml:space="preserve">Price </w:t>
            </w:r>
            <w:r>
              <w:rPr>
                <w:rFonts w:ascii="Times New Roman" w:cs="Times New Roman" w:eastAsia="Times New Roman" w:hAnsi="Times New Roman"/>
                <w:sz w:val="29"/>
                <w:szCs w:val="29"/>
                <w:b w:val="1"/>
                <w:bCs w:val="1"/>
                <w:color w:val="auto"/>
                <w:w w:val="92"/>
                <w:vertAlign w:val="superscript"/>
              </w:rPr>
              <w:t>(1)</w:t>
            </w:r>
          </w:p>
        </w:tc>
        <w:tc>
          <w:tcPr>
            <w:tcW w:w="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Fee Rate</w:t>
            </w:r>
          </w:p>
        </w:tc>
        <w:tc>
          <w:tcPr>
            <w:tcW w:w="980" w:type="dxa"/>
            <w:vAlign w:val="bottom"/>
            <w:tcBorders>
              <w:bottom w:val="single" w:sz="8" w:color="auto"/>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8"/>
              </w:rPr>
              <w:t xml:space="preserve">Fee </w:t>
            </w:r>
            <w:r>
              <w:rPr>
                <w:rFonts w:ascii="Times New Roman" w:cs="Times New Roman" w:eastAsia="Times New Roman" w:hAnsi="Times New Roman"/>
                <w:sz w:val="29"/>
                <w:szCs w:val="29"/>
                <w:b w:val="1"/>
                <w:bCs w:val="1"/>
                <w:color w:val="auto"/>
                <w:w w:val="88"/>
                <w:vertAlign w:val="superscript"/>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 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0" w:type="dxa"/>
            <w:vAlign w:val="bottom"/>
          </w:tcPr>
          <w:p>
            <w:pPr>
              <w:spacing w:after="0"/>
              <w:rPr>
                <w:sz w:val="1"/>
                <w:szCs w:val="1"/>
                <w:color w:val="auto"/>
              </w:rPr>
            </w:pPr>
          </w:p>
        </w:tc>
      </w:tr>
      <w:tr>
        <w:trPr>
          <w:trHeight w:val="209"/>
        </w:trPr>
        <w:tc>
          <w:tcPr>
            <w:tcW w:w="86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6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w:t>
            </w:r>
          </w:p>
        </w:tc>
        <w:tc>
          <w:tcPr>
            <w:tcW w:w="11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w:t>
            </w:r>
          </w:p>
        </w:tc>
        <w:tc>
          <w:tcPr>
            <w:tcW w:w="11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par</w:t>
            </w:r>
          </w:p>
        </w:tc>
        <w:tc>
          <w:tcPr>
            <w:tcW w:w="11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Fees to Be</w:t>
            </w:r>
          </w:p>
        </w:tc>
        <w:tc>
          <w:tcPr>
            <w:tcW w:w="6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c>
          <w:tcPr>
            <w:tcW w:w="11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0" w:type="dxa"/>
            <w:vAlign w:val="bottom"/>
            <w:tcBorders>
              <w:left w:val="single" w:sz="8" w:color="auto"/>
              <w:right w:val="single" w:sz="8" w:color="auto"/>
            </w:tcBorders>
            <w:vMerge w:val="continue"/>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US$0.00025</w:t>
            </w:r>
          </w:p>
        </w:tc>
        <w:tc>
          <w:tcPr>
            <w:tcW w:w="11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457(q)</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.0001476</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0" w:type="dxa"/>
            <w:vAlign w:val="bottom"/>
            <w:tcBorders>
              <w:left w:val="single" w:sz="8" w:color="auto"/>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Fees</w:t>
            </w:r>
          </w:p>
        </w:tc>
        <w:tc>
          <w:tcPr>
            <w:tcW w:w="6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66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Paid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0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2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10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1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18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jc w:val="both"/>
        <w:ind w:left="340" w:right="140" w:hanging="8"/>
        <w:spacing w:after="0" w:line="266" w:lineRule="auto"/>
        <w:tabs>
          <w:tab w:leader="none" w:pos="7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registration on Form F-3 (File No. 333-279584) filed by the Registrant. An indeterminate amount of securities is being registered for market-making purposes by an affiliate of the Registrant. Pursuant to Rule 457(q) under the U.S. Securities Act of 1933, as amended, no filing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60"/>
      </w:cols>
      <w:pgMar w:left="320" w:top="3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Roman"/>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lowerRoman"/>
      <w:start w:val="1"/>
    </w:lvl>
  </w:abstractNum>
  <w:abstractNum w:abstractNumId="19">
    <w:nsid w:val="440BADFC"/>
    <w:multiLevelType w:val="hybridMultilevel"/>
    <w:lvl w:ilvl="0">
      <w:lvlJc w:val="left"/>
      <w:lvlText w:val="(%1)"/>
      <w:numFmt w:val="lowerRoman"/>
      <w:start w:val="2"/>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lowerLetter"/>
      <w:start w:val="2"/>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lowerRoman"/>
      <w:start w:val="5"/>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jpe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jpe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jpe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2" Type="http://schemas.openxmlformats.org/officeDocument/2006/relationships/hyperlink" Target="https://www.sec.gov/ix?doc=/Archives/edgar/data/1736541/000110465924044923/nio-20231231x20f.htm" TargetMode="External"/><Relationship Id="rId30" Type="http://schemas.openxmlformats.org/officeDocument/2006/relationships/hyperlink" Target="http://www.sec.gov/Archives/edgar/data/1736541/000110465924063824/tm2414718-1_f3asr.htm" TargetMode="External"/><Relationship Id="rId150" Type="http://schemas.openxmlformats.org/officeDocument/2006/relationships/hyperlink" Target="https://www.sec.gov/Archives/edgar/data/1736541/000119312518260361/d614798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2024-05-21T16:02:22Z</dcterms:created>
  <dcterms:modified xsi:type="dcterms:W3CDTF">2024-05-21T16:02:22Z</dcterms:modified>
</cp:coreProperties>
</file>